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3557-2025 i Jokkmokks kommun</w:t>
      </w:r>
    </w:p>
    <w:p>
      <w:r>
        <w:t>Denna tillsynsbegäran behandlar höga naturvärden i avverkningsanmälan A 3557-2025 i Jokkmokks kommun som inkom 2025-01-23 och omfattar 60,6 ha.</w:t>
      </w:r>
    </w:p>
    <w:p>
      <w:pPr>
        <w:pStyle w:val="Caption"/>
      </w:pPr>
      <w:r>
        <w:drawing>
          <wp:inline xmlns:a="http://schemas.openxmlformats.org/drawingml/2006/main" xmlns:pic="http://schemas.openxmlformats.org/drawingml/2006/picture">
            <wp:extent cx="5455135" cy="5724000"/>
            <wp:docPr id="1" name="Picture 1"/>
            <wp:cNvGraphicFramePr>
              <a:graphicFrameLocks noChangeAspect="1"/>
            </wp:cNvGraphicFramePr>
            <a:graphic>
              <a:graphicData uri="http://schemas.openxmlformats.org/drawingml/2006/picture">
                <pic:pic>
                  <pic:nvPicPr>
                    <pic:cNvPr id="0" name="A 3557-2025 karta.png"/>
                    <pic:cNvPicPr/>
                  </pic:nvPicPr>
                  <pic:blipFill>
                    <a:blip r:embed="rId16"/>
                    <a:stretch>
                      <a:fillRect/>
                    </a:stretch>
                  </pic:blipFill>
                  <pic:spPr>
                    <a:xfrm>
                      <a:off x="0" y="0"/>
                      <a:ext cx="545513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7400998, E 691310 i SWEREF 99 TM.</w:t>
      </w:r>
    </w:p>
    <w:p>
      <w:r>
        <w:t>I och inom 23 meter från avverkningsanmälan finns fynd av 48 naturvårdsarter, varav 43 är rödlistade, 3 är fridlysta, 25 är typiska (T) och 5 är signalarter (S): kritporing (CR), urskogsporing (EN), fläckporing (VU, T), gräddporing (VU, T), gränsticka (VU, T), knärot (VU, T, §8), norna (VU, T, §7), rostskinn (VU), slemringad vaxskivling (VU), spökfransskivling (VU), tajgataggsvamp (VU), tvillingspindling (VU), blanksvart spiklav (NT), blå taggsvamp (NT, T), blågrå svartspik (NT), dropptaggsvamp (NT, T), dvärgbägarlav (NT, T), gulblå spindling (NT), hornvaxskinn (NT), knottrig blåslav (NT, T), kolflarnlav (NT, T), koralltaggsvamp (NT, T), luddfingersvamp (NT), lunglav (NT, T), mjölsvärting (NT), mörk kolflarnlav (NT), nordtagging (NT), orange taggsvamp (NT, T), reliktbock (NT, T), skarp dropptaggsvamp (NT), skrovellav (NT, T), stjärntagging (NT, T), svartvit taggsvamp (NT), tallriska (NT), talltagel (NT, T), talltaggsvamp (NT), tretåig hackspett (NT, T, §4), vaddporing (NT), vedflamlav (NT), vedskivlav (NT, T), vedtrappmossa (NT, T), violmussling (NT, T), vitplätt (NT), bårdlav (S, T), diskvaxskivling (S), skinnlav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79 fyndplatser för knärot registrerade på Artportalen. Figur 2 visar gränserna för buffertzoner på 50 m, som behöver lämnas kring fyndplatserna för att knärotslokalerna inte ska försvinna vid en avverkning. Av det avverkningsanmälda området överlappar 20.34 ha med buffertzonerna och får av detta skäl inte avverkas.</w:t>
      </w:r>
    </w:p>
    <w:p>
      <w:pPr>
        <w:pStyle w:val="Caption"/>
      </w:pPr>
      <w:r>
        <w:drawing>
          <wp:inline xmlns:a="http://schemas.openxmlformats.org/drawingml/2006/main" xmlns:pic="http://schemas.openxmlformats.org/drawingml/2006/picture">
            <wp:extent cx="5486400" cy="4653071"/>
            <wp:docPr id="2" name="Picture 2"/>
            <wp:cNvGraphicFramePr>
              <a:graphicFrameLocks noChangeAspect="1"/>
            </wp:cNvGraphicFramePr>
            <a:graphic>
              <a:graphicData uri="http://schemas.openxmlformats.org/drawingml/2006/picture">
                <pic:pic>
                  <pic:nvPicPr>
                    <pic:cNvPr id="0" name="A 3557-2025 karta knärot.png"/>
                    <pic:cNvPicPr/>
                  </pic:nvPicPr>
                  <pic:blipFill>
                    <a:blip r:embed="rId17"/>
                    <a:stretch>
                      <a:fillRect/>
                    </a:stretch>
                  </pic:blipFill>
                  <pic:spPr>
                    <a:xfrm>
                      <a:off x="0" y="0"/>
                      <a:ext cx="5486400" cy="46530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7400998, E 691310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Slemringad vaxskivling (VU)</w:t>
      </w:r>
      <w:r>
        <w:t xml:space="preserve"> bildar mykorrhiza med tall, ev. även med gran, på kalkrik mark i barrskog, helst kalktallskog. Storskaligt skogsbruk, särskilt slutavverkning och markberedning skadar arten. Det är önskvärt att individrika lokaler kan bevaras i befintligt skick och att slutavverkning och markberedning undviks på övriga växtplatser (SLU Artdatabanken, 2024; Nitare &amp; Skogsstyrelsen, 2019).</w:t>
      </w:r>
    </w:p>
    <w:p>
      <w:r>
        <w:rPr>
          <w:b/>
        </w:rPr>
        <w:t>Spökfransskivling (VU)</w:t>
      </w:r>
      <w:r>
        <w:t xml:space="preserve"> är en nedbrytare i jord och förna under tall i äldre brandpräglad sandtallskog. Enbart känd från ett fåtal spridda lokaler i boreal zon. Den totala populationen i landet är liten, har minskat och bedöms fortsätta minska till följd av avverkning av äldre tallskog.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Gulblå spindling (NT)</w:t>
      </w:r>
      <w:r>
        <w:t xml:space="preserve"> bildar mykorrhiza med gran i äldre kalkbarrskog, även med björk i fjällnära skog i kalkrika trakter. Populationen i landet bedöms ha minskat och förväntas fortsätta minska, främst till följd av slutavverkning av äldre grandominerad barrskog. Det finns inga indikationer på att arten långsiktigt kan etablera eller reproducera sig i skogsbestånd som brukas med trakthyggesmetoder, markberedning, gödsling eller föryngring med förädlat plantmaterial. Minskningstakten för den svenska populationen bedöms vara nära gränsvärdet för Sårbar (VU) (SLU Artdatabanken, 2026).</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gränsticka (VU, T), knärot (VU, T, §8), norna (VU, T, §7), blå taggsvamp (NT, T), dropptaggsvamp (NT, T), dvärgbägarlav (NT, T), knottrig blåslav (NT, T), kolflarnlav (NT, T), koralltaggsvamp (NT, T), lunglav (NT, T), orange taggsvamp (NT, T), reliktbock (NT, T), skrovellav (NT, T), stjärntagging (NT, T), talltagel (NT, T), tretåig hackspett (NT, T, §4), vedskivlav (NT, T), vedtrappmossa (NT, T), violmussling (NT, T), bårdlav (S, T), skinnlav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