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28 naturvårdsarter, varav 24 är rödlistade, 2 är fridlysta, 15 är typiska (T) och 2 är signalarter (S): fläckporing (VU, T), gräddporing (VU, T), Lecidea subhumida (VU), smalfotad taggsvamp (VU), smultronkantarell (VU), tajgataggsvamp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