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40833-2022 i Jokkmokks kommun</w:t>
      </w:r>
    </w:p>
    <w:p>
      <w:r>
        <w:t>Detta klagomål behandlar höga naturvärden i avverkningsanmälan A 40833-2022 i Jokkmokks kommun som inkom 2022-09-20 och omfattar 122,1 ha.</w:t>
      </w:r>
    </w:p>
    <w:p>
      <w:pPr>
        <w:pStyle w:val="Caption"/>
      </w:pPr>
      <w:r>
        <w:drawing>
          <wp:inline xmlns:a="http://schemas.openxmlformats.org/drawingml/2006/main" xmlns:pic="http://schemas.openxmlformats.org/drawingml/2006/picture">
            <wp:extent cx="5486400" cy="5139493"/>
            <wp:docPr id="1" name="Picture 1"/>
            <wp:cNvGraphicFramePr>
              <a:graphicFrameLocks noChangeAspect="1"/>
            </wp:cNvGraphicFramePr>
            <a:graphic>
              <a:graphicData uri="http://schemas.openxmlformats.org/drawingml/2006/picture">
                <pic:pic>
                  <pic:nvPicPr>
                    <pic:cNvPr id="0" name="A 40833-2022 karta.png"/>
                    <pic:cNvPicPr/>
                  </pic:nvPicPr>
                  <pic:blipFill>
                    <a:blip r:embed="rId16"/>
                    <a:stretch>
                      <a:fillRect/>
                    </a:stretch>
                  </pic:blipFill>
                  <pic:spPr>
                    <a:xfrm>
                      <a:off x="0" y="0"/>
                      <a:ext cx="5486400" cy="5139493"/>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7367427, E 728332 i SWEREF 99 TM.</w:t>
      </w:r>
    </w:p>
    <w:p>
      <w:r>
        <w:t>Inom 25 meter från avverkningsanmälan finns fynd av 22 naturvårdsarter, varav 13 är rödlistade, 3 är fridlysta, 15 är typiska (T) och 6 är signalarter (S): garnlav (VU, T), gränsticka (VU, T), mörk rödprick (VU), blanksvart spiklav (NT), blågrå svartspik (NT), gammelgransskål (NT, T), knottrig blåslav (NT, T), kortskaftad ärgspik (NT), lunglav (NT, T), skrovellav (NT, T), ullticka (NT, T), vedflamlav (NT), vitgrynig nållav (NT), bårdlav (S, T), granbarkgnagare (S, T), luddlav (S, T), plattlummer (S, T, §9), skinnlav (S, T), stuplav (S, T), asphättemossa (T), mattlummer (T, §9)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Mörk rödprick (VU)</w:t>
      </w:r>
      <w:r>
        <w:t xml:space="preserve"> är en fläcklav som påträffats på gran, sälg och björk i boreala grandominerade kontinuitetsskogar med hög och jämn luftfuktighet. Arten hotas främst av att arealen gammal boreal granskog med grova sälgar och hög luftfuktighet minskat. Barrskog äldre än 160 år har minskat med 50% de senaste 50 åren. Artens population bedöms ha minskat med minst 30% under samma tidsperiod (3 generation för arten) och bedömningen är att populationen kommer att fortsätta minska med ytterligare åtminstone 30% de kommande 50 åren. Några lokaler är naturreservat men ytterligare lokaler måste skyddas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Asphättemossa </w:t>
      </w:r>
      <w:r>
        <w:t xml:space="preserve">växer på aspbark, särskilt på grova aspar i halvskugga. Riktigt riklig kan den bli på lutande stammar eller på stammar med skador där sav har runnit. Arten är för sin existens beroende av tillgång på asp, framför allt något grövre träd. Ett skogsbruk där asp i tillräcklig mängd inte tillåts finnas kvar är därför ett hot mot arten på sikt. Asphättemossa är typisk art för </w:t>
      </w:r>
      <w:r>
        <w:rPr>
          <w:i/>
        </w:rPr>
        <w:t>9010 Taiga</w:t>
      </w:r>
      <w:r>
        <w:t xml:space="preserve"> (SLU Artdatabanken, 2025).</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22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