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31827-2026 i Jokkmokks kommun</w:t>
      </w:r>
    </w:p>
    <w:p>
      <w:r>
        <w:t>Denna tillsynsbegäran behandlar höga naturvärden i avverkningsanmälan A 31827-2026 i Jokkmokks kommun som inkom 2026-07-27 och omfattar 19,4 ha.</w:t>
      </w:r>
    </w:p>
    <w:p>
      <w:pPr>
        <w:pStyle w:val="Caption"/>
      </w:pPr>
      <w:r>
        <w:drawing>
          <wp:inline xmlns:a="http://schemas.openxmlformats.org/drawingml/2006/main" xmlns:pic="http://schemas.openxmlformats.org/drawingml/2006/picture">
            <wp:extent cx="4767270" cy="5724000"/>
            <wp:docPr id="1" name="Picture 1"/>
            <wp:cNvGraphicFramePr>
              <a:graphicFrameLocks noChangeAspect="1"/>
            </wp:cNvGraphicFramePr>
            <a:graphic>
              <a:graphicData uri="http://schemas.openxmlformats.org/drawingml/2006/picture">
                <pic:pic>
                  <pic:nvPicPr>
                    <pic:cNvPr id="0" name="A 31827-2026 karta.png"/>
                    <pic:cNvPicPr/>
                  </pic:nvPicPr>
                  <pic:blipFill>
                    <a:blip r:embed="rId16"/>
                    <a:stretch>
                      <a:fillRect/>
                    </a:stretch>
                  </pic:blipFill>
                  <pic:spPr>
                    <a:xfrm>
                      <a:off x="0" y="0"/>
                      <a:ext cx="4767270"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7375910, E 751490 i SWEREF 99 TM.</w:t>
      </w:r>
    </w:p>
    <w:p>
      <w:r>
        <w:t>I och inom 24 meter från avverkningsanmälan finns fynd av 37 naturvårdsarter, varav 16 är rödlistade, 11 är fridlysta, 26 är typiska (T) och 11 är signalarter (S): djupsvart brunbagge (EN), trådbrosklav (EN), brunfläckig pärlemorfjäril (VU), garnlav (VU, T), knärot (VU, T, §8), mindre barkplattbagge (VU), gammelgransskål (NT, T), grönhjon (NT), knottrig blåslav (NT, T), rosenticka (NT, T), rynkskinn (NT, T), skogsfru (NT, §8), talltagel (NT, T), talltita (NT, §4), tretåig hackspett (NT, T, §4), violmussling (NT, T), björksplintborre (S), bollvitmossa (S, T), bronshjon (S, T), lappranunkel (S, T, §7), luddlav (S, T), norrlandslav (S, T), nästlav (S, T), skör kvastmossa (S, T), spindelblomster (S, T, §8), vågbandad barkbock (S), ögonpyrola (S, T), brudborste (T), ekbräken (T), hultbräken (T), järpe (T, §4), linnea (T), ormbär (T), spillkråka (T, §4), videsparv (T, §4),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5739038"/>
            <wp:docPr id="2" name="Picture 2"/>
            <wp:cNvGraphicFramePr>
              <a:graphicFrameLocks noChangeAspect="1"/>
            </wp:cNvGraphicFramePr>
            <a:graphic>
              <a:graphicData uri="http://schemas.openxmlformats.org/drawingml/2006/picture">
                <pic:pic>
                  <pic:nvPicPr>
                    <pic:cNvPr id="0" name="A 31827-2026 karta knärot.png"/>
                    <pic:cNvPicPr/>
                  </pic:nvPicPr>
                  <pic:blipFill>
                    <a:blip r:embed="rId17"/>
                    <a:stretch>
                      <a:fillRect/>
                    </a:stretch>
                  </pic:blipFill>
                  <pic:spPr>
                    <a:xfrm>
                      <a:off x="0" y="0"/>
                      <a:ext cx="5486400" cy="57390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7375910, E 751490 i SWEREF 99 TM.</w:t>
      </w:r>
    </w:p>
    <w:p>
      <w:r>
        <w:rPr>
          <w:b/>
        </w:rPr>
        <w:t xml:space="preserve">Mindre barkplattbagge (VU) </w:t>
      </w:r>
      <w:r>
        <w:t>påträffas främst i gamla, senvuxna lavgranskogar med rikligt av död ved. Dess larvutveckling sker under barken på granlågor med tunn bark (barktjocklek 1–6 mm), ofta i toppartiet av granlågor. Arten hotas av storskaligt skogsbruk, då det ofta medför minskad tillgång på granlågor, ändrat trädslagsval och snabbare omloppstid. Naturskogsliknande granbestånd med riklig förekomst av lågor bör undantas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knottrig blåslav (NT, T), rosenticka (NT, T), rynkskinn (NT, T), talltagel (NT, T), tretåig hackspett (NT, T, §4), violmussling (NT, T), bollvitmossa (S, T), bronshjon (S, T), lappranunkel (S, T, §7), luddlav (S, T), norrlandslav (S, T), nästlav (S, T), skör kvastmossa (S, T), spindelblomster (S, T, §8), ögonpyrola (S, T), brudborste (T), ekbräken (T), hultbräken (T), järpe (T, §4), linnea (T), ormbär (T), spillkråka (T, §4) och videsparv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