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35 naturvårdsarter, varav 26 är rödlistade, 7 är fridlysta, 23 är typiska (T) och 5 är signalarter (S): fläckporing (VU, T), grenlav (VU), gräddporing (VU, T), norna (VU, T, §7), ringlav (VU), blå taggsvamp (NT, T), dropptaggsvamp (NT, T), dvärgbägarlav (NT, T), gammelgransskål (NT, T), knottrig blåslav (NT, T), kolflarnlav (NT, T), luddfingersvamp (NT), mörk kolflarnlav (NT), nordtagging (NT), reliktbock (NT, T), talltagel (NT, T), talltaggsvamp (NT), talltita (NT, §4), tretåig hackspett (NT, T, §4),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