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35 naturvårdsarter, varav 26 är rödlistade, 7 är fridlysta, 23 är typiska (T) och 5 är signalarter (S): fläckporing (VU, T), grenlav (VU), gräddporing (VU, T), norna (VU, T, §7), ringlav (VU), blå taggsvamp (NT, T), dropptaggsvamp (NT, T), dvärgbägarlav (NT, T), gammelgransskål (NT, T), knottrig blåslav (NT, T), kolflarnlav (NT, T), luddfingersvamp (NT), mörk kolflarnlav (NT), nordtagging (NT), reliktbock (NT, T), talltagel (NT, T), talltaggsvamp (NT), talltita (NT, §4), tretåig hackspett (NT, T, §4),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talltagel (NT, T), tretåig hackspett (NT, T, §4),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