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853392"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85339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18 meter från avverkningsanmälan finns fynd av 32 naturvårdsarter, varav 13 är rödlistade, 9 är fridlysta, 23 är typiska (T) och 11 är signalarter (S): djupsvart brunbagge (EN), trådbrosklav (EN), garnlav (VU, T), knärot (VU, T, §8), mindre barkplattbagge (VU), gammelgransskål (NT, T), grönhjon (NT), knottrig blåslav (NT, T), rosenticka (NT, T), rynkskinn (NT, T), skogsfru (NT, §8), talltita (NT, §4), tretåig hackspett (NT, T, §4), björksplintborre (S), bollvitmossa (S, T), bronshjon (S, T), lappranunkel (S, T, §7), luddlav (S, T), norrlandslav (S, T), nästlav (S, T), skör kvastmossa (S, T), spindelblomster (S, T, §8), vågbandad barkbock (S), ögonpyrola (S, T), brudborste (T), ekbräken (T), hultbräken (T), linnea (T), ormbär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