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853392"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85339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18 meter från avverkningsanmälan finns fynd av 32 naturvårdsarter, varav 13 är rödlistade, 9 är fridlysta, 23 är typiska (T) och 11 är signalarter (S): djupsvart brunbagge (EN), trådbrosklav (EN), garnlav (VU, T), knärot (VU, T, §8), mindre barkplattbagge (VU), gammelgransskål (NT, T), grönhjon (NT), knottrig blåslav (NT, T), rosenticka (NT, T), rynkskinn (NT, T), skogsfru (NT, §8), talltita (NT, §4), tretåig hackspett (NT, T, §4),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tretåig hackspett (NT, T, §4), bollvitmossa (S, T), bronshjon (S, T), lappranunkel (S, T, §7), luddlav (S, T), norrlandslav (S, T), nästlav (S, T), skör kvastmossa (S, T), spindelblomster (S, T, §8), ögonpyrola (S, T), brudborste (T), ekbräken (T), hultbräken (T),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