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683-2024 i Jokkmokks kommun</w:t>
      </w:r>
    </w:p>
    <w:p>
      <w:r>
        <w:t>Denna tillsynsbegäran behandlar höga naturvärden i samrådsanmälan S 683-2024 i Jokkmokks kommun som inkom 2024-03-07 och omfattar 26,9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858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8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858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7401160, E 695299 i SWEREF 99 TM.</w:t>
      </w:r>
    </w:p>
    <w:p>
      <w:r>
        <w:t>I samrådsanmälan finns fynd av 1 naturvårdsarter, varav 1 är rödlistad och 1 är typisk (T): knottrig blåslav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Knottrig blåslav (NT)</w:t>
      </w:r>
      <w:r>
        <w:t xml:space="preserve"> har sin huvudutbredning i gamla granskogar i det övre barrskogsbältet mot fjällen. Den signalerar alltid höga naturvärden och växer i skogar med lång kontinuitet, mest i opåverkade naturskogsbestånd. Arten överlever inte en slutavverkning (inklusive hänsyn) och den finns idag enbart i kontinuitetsskog. Lavens fortsatta förekomst bör säkerställas genom att lokaler med äldre barrskog skyddas. Knottrig blåslav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9040 Fjällbjörkskog</w:t>
      </w:r>
    </w:p>
    <w:p>
      <w:r>
        <w:t>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