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44842-2025 i Jokkmokks kommun</w:t>
      </w:r>
    </w:p>
    <w:p>
      <w:r>
        <w:t>Denna tillsynsbegäran behandlar höga naturvärden i avverkningsanmälan A 44842-2025 i Jokkmokks kommun som inkom 2025-09-18 och omfattar 7,7 ha.</w:t>
      </w:r>
    </w:p>
    <w:p>
      <w:pPr>
        <w:pStyle w:val="Caption"/>
      </w:pPr>
      <w:r>
        <w:drawing>
          <wp:inline xmlns:a="http://schemas.openxmlformats.org/drawingml/2006/main" xmlns:pic="http://schemas.openxmlformats.org/drawingml/2006/picture">
            <wp:extent cx="5486400" cy="5148476"/>
            <wp:docPr id="1" name="Picture 1"/>
            <wp:cNvGraphicFramePr>
              <a:graphicFrameLocks noChangeAspect="1"/>
            </wp:cNvGraphicFramePr>
            <a:graphic>
              <a:graphicData uri="http://schemas.openxmlformats.org/drawingml/2006/picture">
                <pic:pic>
                  <pic:nvPicPr>
                    <pic:cNvPr id="0" name="A 44842-2025 karta.png"/>
                    <pic:cNvPicPr/>
                  </pic:nvPicPr>
                  <pic:blipFill>
                    <a:blip r:embed="rId16"/>
                    <a:stretch>
                      <a:fillRect/>
                    </a:stretch>
                  </pic:blipFill>
                  <pic:spPr>
                    <a:xfrm>
                      <a:off x="0" y="0"/>
                      <a:ext cx="5486400" cy="5148476"/>
                    </a:xfrm>
                    <a:prstGeom prst="rect"/>
                  </pic:spPr>
                </pic:pic>
              </a:graphicData>
            </a:graphic>
          </wp:inline>
        </w:drawing>
      </w:r>
    </w:p>
    <w:p>
      <w:pPr>
        <w:pStyle w:val="Caption"/>
        <w:spacing w:after="240"/>
      </w:pPr>
      <w:r>
        <w:t>Figur 1. Fyndplatser för naturvårdsarter inom 18 meter från avverkningsanmälan. Markörer utan svart kant är placerade på fyndplatsen. Markörer med svart kant är placerade vid sidan av fyndplatsen har ett svart streck som visar fyndplatsens exakta position. Kartans mittpunktskoordinat är N 7385574, E 751344 i SWEREF 99 TM.</w:t>
      </w:r>
    </w:p>
    <w:p>
      <w:r>
        <w:t>Inom 18 meter från avverkningsanmälan finns fynd av 1 naturvårdsarter, varav 1 är rödlistad och 1 är typisk (T): goliatmusseron (VU,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Goliatmusseron (VU)</w:t>
      </w:r>
      <w:r>
        <w:t xml:space="preserve"> är en mykorrhizasvamp knuten till gammal tall på sandig eller grusig mark, främst ljusöppna torra lavtallhedar där svampen växer bland renlavar och lingon. Mager, sandig och brandpräglad tallskog med lång trädkontinuitet bör undantas från trakthyggesbruk och inte kalavverkas. Goliatmusseron är placerad högst upp i Skogsstyrelsens värdepyramid för bedömning av skog med höga naturvärden och den är globalt rödlistad som sårbar (VU) vilket innebär att Sverige har ett internationellt ansvar för arten. Goliatmusseron är typisk art för </w:t>
      </w:r>
      <w:r>
        <w:rPr>
          <w:i/>
        </w:rPr>
        <w:t>9010 Taiga</w:t>
      </w:r>
      <w:r>
        <w:t xml:space="preserve"> (SLU Artdatabanken, 2024; Nitare &amp; Skogsstyrelsen, 2019; IUCN, 2020).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