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32759-2021 i Jokkmokks kommun</w:t>
      </w:r>
    </w:p>
    <w:p>
      <w:r>
        <w:t>Detta dokument behandlar höga naturvärden i avverkningsanmälan A 32759-2021 i Jokkmokks kommun. Denna avverkningsanmälan inkom 2021-06-28 00:00:00 och omfattar 100,0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30 naturvårdsarter hittats: liten sotlav (VU), blå taggsvamp (NT), blågrå svartspik (NT), brunpudrad nållav (NT), dvärgbägarlav (NT), gammelgransskål (NT), granticka (NT), knottrig blåslav (NT), kolflarnlav (NT), mörk kolflarnlav (NT), orange taggsvamp (NT), reliktbock (NT), skogsfru (NT, §8), skrovellav (NT), spillkråka (NT, §4), vaddporing (NT), vedflamlav (NT), vedskivlav (NT), vedtrappmossa (NT), violettgrå tagellav (NT), vitgrynig nållav (NT), vitplätt (NT), dropptaggsvamp (S), luddlav (S), norrlandslav (S), nästlav (S), skinnlav (S), stuplav (S), vedticka (S) och revlummer (§9). Av dessa är 22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07403"/>
            <wp:docPr id="1" name="Picture 1"/>
            <wp:cNvGraphicFramePr>
              <a:graphicFrameLocks noChangeAspect="1"/>
            </wp:cNvGraphicFramePr>
            <a:graphic>
              <a:graphicData uri="http://schemas.openxmlformats.org/drawingml/2006/picture">
                <pic:pic>
                  <pic:nvPicPr>
                    <pic:cNvPr id="0" name="A 32759-2021 karta.png"/>
                    <pic:cNvPicPr/>
                  </pic:nvPicPr>
                  <pic:blipFill>
                    <a:blip r:embed="rId16"/>
                    <a:stretch>
                      <a:fillRect/>
                    </a:stretch>
                  </pic:blipFill>
                  <pic:spPr>
                    <a:xfrm>
                      <a:off x="0" y="0"/>
                      <a:ext cx="5486400" cy="37074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7411149, E 694649 i SWEREF 99 TM.</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Liten sotlav (VU)</w:t>
      </w:r>
      <w:r>
        <w:t xml:space="preserve"> förekommer i gamla brandrefugiala boreala granskogar där den oftast påträffas på grovbarkiga, senvuxna, mycket gamla granar. Arten är en av de mest krävande arterna i fuktig grannaturskog och är placerad högst upp i Skogsstyrelsens värdepyramid för bedömning av skog med höga naturvärden. Samtliga förekomster bör skyddas. Liten sotlav är typisk art för </w:t>
      </w:r>
      <w:r>
        <w:rPr>
          <w:i/>
        </w:rPr>
        <w:t>9010 Taiga</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pPr>
        <w:pStyle w:val="Heading1"/>
      </w:pPr>
      <w:r>
        <w:t>Fridlysta arter</w:t>
      </w:r>
    </w:p>
    <w:p>
      <w:r>
        <w:t>Följande fridlysta arter har sina livsmiljöer och växtplatser i den avverkningsanmälda skogen: skogsfru (NT, §8), spillkråka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Skogsfru (NT, §8)</w:t>
      </w:r>
      <w:r>
        <w:t xml:space="preserve"> växer i fuktig, skuggig skog med rörligt markvatten och god förnaproduktion. Den är placerad högst upp i Skogsstyrelsens värdepyramid för bedömning av skog med höga naturvärden och fridlyst enligt 8 § artskyddsförordningen. Slutavverkning utan hänsyn, markberedning och skyddsdikning utgör de allvarligaste hoten mot arten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29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30 naturvårdsarter varav 22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2026-06-15</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