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25 meter från avverkningsanmälan finns fynd av 30 naturvårdsarter, varav 26 är rödlistade, 3 är fridlysta, 13 är typiska (T) och 4 är signalarter (S): goliatmusseron (VU, T), gräddporing (VU, T), smalfotad taggsvamp (VU), spadskinn (VU), tajgataggsvamp (VU), torrmusseron (VU), blanksvart spiklav (NT), blå taggsvamp (NT, T), dropptaggsvamp (NT, T), dvärgbägarlav (NT, T), kolflarnlav (NT, T), lavskrika (NT, T, §4), mjölsvärting (NT), orange taggsvamp (NT, T), Phellodon aquiloniniger (NT), skarp dropptaggsvamp (NT), svartvit taggsvamp (NT), tallriska (NT), talltagel (NT, T), talltaggsvamp (NT), talltita (NT, §4), vaddporing (NT), vaxspindling (NT), vedflamlav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kolflarnlav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