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60025-2025 i Jokkmokks kommun</w:t>
      </w:r>
    </w:p>
    <w:p>
      <w:r>
        <w:t>Denna tillsynsbegäran behandlar höga naturvärden i avverkningsanmälan A 60025-2025 i Jokkmokks kommun som inkom 2025-12-02 och omfattar 15,9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60025-2025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7336219, E 715960 i SWEREF 99 TM.</w:t>
      </w:r>
    </w:p>
    <w:p>
      <w:r>
        <w:t>I och inom 7 meter från avverkningsanmälan finns fynd av 15 naturvårdsarter, varav 13 är rödlistade, 1 är fridlyst, 10 är typiska (T) och 2 är signalarter (S): gräddporing (VU, T), smalfotad taggsvamp (VU), tajgataggsvamp (VU), blå taggsvamp (NT, T), dvärgbägarlav (NT, T), knottrig blåslav (NT, T), kolflarnlav (NT, T), mörk kolflarnlav (NT), orange taggsvamp (NT, T), skarp dropptaggsvamp (NT), talltagel (NT, T), vaddporing (NT), vedskivlav (NT, T), plattlummer (S, T, §9)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dvärgbägarlav (NT, T), knottrig blåslav (NT, T), kolflarnlav (NT, T), orange taggsvamp (NT, T), talltagel (NT, T), vedskivlav (NT, T), plattlummer (S, T, §9)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