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25608-2026 i Jokkmokks kommun</w:t>
      </w:r>
    </w:p>
    <w:p>
      <w:r>
        <w:t>Detta klagomål behandlar höga naturvärden i avverkningsanmälan A 25608-2026 i Jokkmokks kommun som inkom 2026-06-04 och omfattar 21,5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25608-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7334093, E 720208 i SWEREF 99 TM.</w:t>
      </w:r>
    </w:p>
    <w:p>
      <w:r>
        <w:t>I och inom 11 meter från avverkningsanmälan finns fynd av 27 naturvårdsarter, varav 23 är rödlistade, 4 är fridlysta, 14 är typiska (T) och 3 är signalarter (S): garnlav (VU, T), gräddporing (VU, T), smalfotad taggsvamp (VU), spadskinn (VU), tajgataggsvamp (VU), blanksvart spiklav (NT), blågrå svartspik (NT), brunpudrad nållav (NT, T), dropptaggsvamp (NT, T), dvärgbägarlav (NT, T), kolflarnlav (NT, T), mörk kolflarnlav (NT), nordtagging (NT), orange taggsvamp (NT, T), Phellodon aquiloniniger (NT), skarp dropptaggsvamp (NT), talltagel (NT, T), tallticka (NT, T), talltita (NT, §4), vaddporing (NT), vedflamlav (NT), vedskivlav (NT, T), vitplätt (NT), plattlummer (S, T, §9), skinnlav (S, T), spindelblomster (S,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