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55330-2023 i Jokkmokks kommun</w:t>
      </w:r>
    </w:p>
    <w:p>
      <w:r>
        <w:t>Detta dokument behandlar höga naturvärden i avverkningsanmälan A 55330-2023 i Jokkmokks kommun. Denna avverkningsanmälan inkom 2023-11-07 00:00:00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grenlav (VU), blå taggsvamp (NT), garnlav (NT), järpe (NT, §4), knottrig blåslav (NT), lappmes (NT, §4), motaggsvamp (NT), orange taggsvamp (NT), skrovellav (NT), skrovlig taggsvamp (NT), spillkråka (NT, §4), tallriska (NT), talltita (NT, §4), tretåig hackspett (NT, §4), bårdlav (S), späd brosklav (S), stuplav (S) och tjäder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55330-2023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7393838, E 695982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Grenlav (VU) </w:t>
      </w:r>
      <w:r>
        <w:t>förekommer i gamla boreala barrskogar med hög luftfuktighet, särskilt på stora myrar, i fjällnära skog, vid bäckar och i sumpskogar. Den är placerad högst upp i Skogsstyrelsens värdepyramid för bedömning av skog med höga naturvärden och kräver konstant hög luftfuktighet med lång kontinuitet av gamla träd och torrträd. Lokaler med arten bör undantas från skogliga skötselåtgärder och de rikaste lokalerna bör få ett permanent skydd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Späd brosklav </w:t>
      </w:r>
      <w:r>
        <w:t>förekommer främst i boreala granskogar med lång trädkontinuitet men kan också förekomma på lövträd vid sänkta sjöar, vid vägkanter med kalkdamm i Jämtland samt på sälg och asp i sydbranter. Arten har minskat genom avverkningar av boreal kontinuitetsskog. Späd brosklav är en bra signalart för skogar med höga naturvärden. Särskilt användbar är den i älvnära granskogar där arten indikerar konstant hög luftfuktighet och låg grad av mänsklig påverkan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Fridlysta arter</w:t>
      </w:r>
    </w:p>
    <w:p>
      <w:r>
        <w:t>Följande fridlysta arter har sina livsmiljöer och växtplatser i den avverkningsanmälda skogen: järpe (NT, §4), lappmes (NT, §4),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Lappmes (NT, §4)</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(Skogsstyrelsen, 2016).</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