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27667-2024 i Jokkmokks kommun</w:t>
      </w:r>
    </w:p>
    <w:p>
      <w:r>
        <w:t>Detta dokument behandlar höga naturvärden i avverkningsanmälan A 27667-2024 i Jokkmokks kommun. Denna avverkningsanmälan inkom 2024-07-01 00:00:00 och omfattar 20,0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21 naturvårdsarter hittats: doftticka (VU, §8), grenlav (VU), knärot (VU, §8), gammelgransskål (NT), garnlav (NT), granticka (NT), knottrig blåslav (NT), lunglav (NT), rosenticka (NT), skrovellav (NT), spillkråka (NT, §4), tretåig hackspett (NT, §4), ullticka (NT), vitgrynig nållav (NT), luddlav (S), skinnlav (S), spindelblomster (S, §8), stuplav (S), trådticka (S), vågbandad barkbock (S) och ögonpyrola (S).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7376"/>
            <wp:docPr id="1" name="Picture 1"/>
            <wp:cNvGraphicFramePr>
              <a:graphicFrameLocks noChangeAspect="1"/>
            </wp:cNvGraphicFramePr>
            <a:graphic>
              <a:graphicData uri="http://schemas.openxmlformats.org/drawingml/2006/picture">
                <pic:pic>
                  <pic:nvPicPr>
                    <pic:cNvPr id="0" name="A 27667-2024 karta.png"/>
                    <pic:cNvPicPr/>
                  </pic:nvPicPr>
                  <pic:blipFill>
                    <a:blip r:embed="rId16"/>
                    <a:stretch>
                      <a:fillRect/>
                    </a:stretch>
                  </pic:blipFill>
                  <pic:spPr>
                    <a:xfrm>
                      <a:off x="0" y="0"/>
                      <a:ext cx="5486400" cy="45473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7371719, E 736803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Grenlav (VU) </w:t>
      </w:r>
      <w:r>
        <w:t>förekommer i gamla boreala barrskogar med hög luftfuktighet, särskilt på stora myrar, i fjällnära skog, vid bäckar och i sumpskogar. Den är placerad högst upp i Skogsstyrelsens värdepyramid för bedömning av skog med höga naturvärden och kräver konstant hög luftfuktighet med lång kontinuitet av gamla träd och torrträd. Lokaler med arten bör undantas från skogliga skötselåtgärder och de rikaste lokalerna bör få ett permanent skydd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doftticka (VU, §8), knärot (VU, §8), spillkråka (NT, §4),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32 fyndplatser för knärot registrerade på Artportalen. Figur 2 visar gränserna för buffertzoner på 50 m, som behöver lämnas kring fyndplatserna för att knärotslokalerna inte ska försvinna vid en avverkning. Av det avverkningsanmälda området överlappar 4.98 ha med buffertzonerna och får av detta skäl inte avverkas.</w:t>
      </w:r>
    </w:p>
    <w:p>
      <w:pPr>
        <w:pStyle w:val="Caption"/>
      </w:pPr>
      <w:r>
        <w:drawing>
          <wp:inline xmlns:a="http://schemas.openxmlformats.org/drawingml/2006/main" xmlns:pic="http://schemas.openxmlformats.org/drawingml/2006/picture">
            <wp:extent cx="5486400" cy="5566392"/>
            <wp:docPr id="2" name="Picture 2"/>
            <wp:cNvGraphicFramePr>
              <a:graphicFrameLocks noChangeAspect="1"/>
            </wp:cNvGraphicFramePr>
            <a:graphic>
              <a:graphicData uri="http://schemas.openxmlformats.org/drawingml/2006/picture">
                <pic:pic>
                  <pic:nvPicPr>
                    <pic:cNvPr id="0" name="A 27667-2024 karta knärot.png"/>
                    <pic:cNvPicPr/>
                  </pic:nvPicPr>
                  <pic:blipFill>
                    <a:blip r:embed="rId17"/>
                    <a:stretch>
                      <a:fillRect/>
                    </a:stretch>
                  </pic:blipFill>
                  <pic:spPr>
                    <a:xfrm>
                      <a:off x="0" y="0"/>
                      <a:ext cx="5486400" cy="556639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7371719, E 736803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