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55330-2023 i Jokkmokks kommun</w:t>
      </w:r>
    </w:p>
    <w:p>
      <w:r>
        <w:t>Detta dokument behandlar höga naturvärden i avverkningsanmälan A 55330-2023 i Jokkmokks kommun. Denna avverkningsanmälan inkom 2023-11-07 00:00:00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grenlav (VU), blå taggsvamp (NT), garnlav (NT), järpe (NT, §4), knottrig blåslav (NT), lappmes (NT, §4), motaggsvamp (NT), orange taggsvamp (NT), skrovellav (NT), skrovlig taggsvamp (NT), spillkråka (NT, §4), tallriska (NT), talltita (NT, §4), tretåig hackspett (NT, §4), bårdlav (S), späd brosklav (S), stuplav (S) och tjäder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55330-2023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7393838, E 695982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Späd brosklav </w:t>
      </w:r>
      <w:r>
        <w:t xml:space="preserve">förekommer främst i boreala granskogar med lång trädkontinuitet men kan också förekomma på lövträd vid sänkta sjöar, vid vägkanter med kalkdamm i Jämtland samt på sälg och asp i sydbranter. Arten har minskat genom avverkningar av boreal kontinuitetsskog. Späd brosklav är en bra signalart för skogar med höga naturvärden. Särskilt användbar är den i älvnära granskogar där arten indikerar konstant hög luftfuktighet och låg grad av mänsklig påverkan. Späd brosklav är typisk art för </w:t>
      </w:r>
      <w:r>
        <w:rPr>
          <w:i/>
        </w:rPr>
        <w:t>9010 Taiga</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Fridlysta arter</w:t>
      </w:r>
    </w:p>
    <w:p>
      <w:r>
        <w:t>Följande fridlysta arter har sina livsmiljöer och växtplatser i den avverkningsanmälda skogen: järpe (NT, §4), lappmes (NT, §4),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Lappmes (NT, §4)</w:t>
      </w:r>
      <w:r>
        <w:t xml:space="preserve">, som är typisk art för </w:t>
      </w:r>
      <w:r>
        <w:rPr>
          <w:i/>
        </w:rPr>
        <w:t>9010 Taiga</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 xml:space="preserve">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Lappmes är typisk art för </w:t>
      </w:r>
      <w:r>
        <w:rPr>
          <w:i/>
        </w:rPr>
        <w:t>9010 Taiga</w:t>
      </w:r>
      <w:r>
        <w:t xml:space="preserve"> och fridlyst enligt 4§ artskyddsförordningen (Skogsstyrelsen, 2016; SLU Artdatabanken, 2024).</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