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53217-2023 i Jokkmokks kommun</w:t>
      </w:r>
    </w:p>
    <w:p>
      <w:r>
        <w:t>Detta klagomål behandlar höga naturvärden i avverkningsanmälan A 53217-2023 i Jokkmokks kommun som inkom 2023-10-23 och omfattar 7,6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53217-2023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7427676, E 703566 i SWEREF 99 TM.</w:t>
      </w:r>
    </w:p>
    <w:p>
      <w:r>
        <w:t>I och inom 16 meter från avverkningsanmälan finns fynd av 21 naturvårdsarter, varav 18 är rödlistade, 6 är fridlysta, 16 är typiska (T) och 3 är signalarter (S): urskogsporing (EN), doftticka (VU, T, §8), gräddporing (VU, T), gränsticka (VU, T), knärot (VU, T, §8), liten aspgelélav (VU, T), knottrig blåslav (NT, T), kötticka (NT), lavskrika (NT, T, §4), lunglav (NT, T), rynkskinn (NT, T), skrovellav (NT, T), stjärntagging (NT, T), talltita (NT, §4), tretåig hackspett (NT, T, §4), vedflamlav (NT), vedtrappmossa (NT, T), vitplätt (NT), skinnlav (S, T),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4967926"/>
            <wp:docPr id="2" name="Picture 2"/>
            <wp:cNvGraphicFramePr>
              <a:graphicFrameLocks noChangeAspect="1"/>
            </wp:cNvGraphicFramePr>
            <a:graphic>
              <a:graphicData uri="http://schemas.openxmlformats.org/drawingml/2006/picture">
                <pic:pic>
                  <pic:nvPicPr>
                    <pic:cNvPr id="0" name="A 53217-2023 karta knärot.png"/>
                    <pic:cNvPicPr/>
                  </pic:nvPicPr>
                  <pic:blipFill>
                    <a:blip r:embed="rId17"/>
                    <a:stretch>
                      <a:fillRect/>
                    </a:stretch>
                  </pic:blipFill>
                  <pic:spPr>
                    <a:xfrm>
                      <a:off x="0" y="0"/>
                      <a:ext cx="5486400" cy="49679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7427676, E 703566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