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13 meter från avverkningsanmälan finns fynd av 22 naturvårdsarter, varav 8 är rödlistade, 8 är fridlysta, 18 är typiska (T) och 7 är signalarter (S): garnlav (VU, T), knärot (VU, T, §8), gammelgransskål (NT, T), knottrig blåslav (NT, T), rosenticka (NT, T), rynkskinn (NT, T), talltita (NT, §4), tretåig hackspett (NT, T, §4), björksplintborre (S), bollvitmossa (S, T), lappranunkel (S, T, §7), norrlandslav (S, T), nästlav (S, T), spindelblomster (S, T, §8), vågbandad barkbock (S), brudborste (T), ekbräken (T), hultbräken (T), linnea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tretåig hackspett (NT, T, §4), bollvitmossa (S, T), lappranunkel (S, T, §7), norrlandslav (S, T), nästlav (S, T), spindelblomster (S, T, §8), brudborste (T), ekbräken (T), hultbräken (T), linnea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