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28052-2024 i Jokkmokks kommun</w:t>
      </w:r>
    </w:p>
    <w:p>
      <w:r>
        <w:t>Detta dokument behandlar höga naturvärden i avverkningsanmälan A 28052-2024 i Jokkmokks kommun. Denna avverkningsanmälan inkom 2024-07-03 12:58:59 och omfattar 10,6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9 naturvårdsarter hittats: blanksvart spiklav (NT), gammelgransskål (NT), garnlav (NT), stjärntagging (NT), tretåig hackspett (NT, §4), vaddporing (NT), vedflamlav (NT), dropptaggsvamp (S) och spindelblomster (S, §8).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25690"/>
            <wp:docPr id="1" name="Picture 1"/>
            <wp:cNvGraphicFramePr>
              <a:graphicFrameLocks noChangeAspect="1"/>
            </wp:cNvGraphicFramePr>
            <a:graphic>
              <a:graphicData uri="http://schemas.openxmlformats.org/drawingml/2006/picture">
                <pic:pic>
                  <pic:nvPicPr>
                    <pic:cNvPr id="0" name="A 28052-2024 karta.png"/>
                    <pic:cNvPicPr/>
                  </pic:nvPicPr>
                  <pic:blipFill>
                    <a:blip r:embed="rId16"/>
                    <a:stretch>
                      <a:fillRect/>
                    </a:stretch>
                  </pic:blipFill>
                  <pic:spPr>
                    <a:xfrm>
                      <a:off x="0" y="0"/>
                      <a:ext cx="5486400" cy="42256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7347558, E 724208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Stjärntagging (NT)</w:t>
      </w:r>
      <w:r>
        <w:t xml:space="preserve"> signalerar inom hela sitt utbredningsområde höga naturvärden. Svampen är uttorkningskänslig och beroende av ett oförändrat fuktigt mikroklimat. Den är även beroende av en ständig tillgång på död ved i olika nedbrytningsstadier, dock ej nödvändigtvis grova träd. Tidigare påverkan på miljön måste dock ha varit så skonsam att det naturliga skogsekosystemet till stora delar har bevarats. Minskningstakten för den svenska populationen bedöms vara nära gränsvärdet för Sårbar (VU) (SLU Artdatabanken, 2024; Nitare &amp; Skogsstyrelsen, 2019).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Vedflamlav (NT)</w:t>
      </w:r>
      <w:r>
        <w:t xml:space="preserve"> växer på gammal hård och torr, exponerad kärnved av tall, främst på högstubbar i ljusöppna lägen, t.ex. vid och på myrar, sjökanter, i glesa hällmarkskogar och i brandpräglade tallnaturskogar. Substratet nyskapas i begränsad omfattning och arten är en utmärkt indikator på höga naturvärden i denna skogstyp. Tall- och barrblandskogar med naturskogskaraktär och spår av bränder har ofta höga biologiska värden och bör skyddas (SLU Artdatabanken, 2024).</w:t>
      </w:r>
    </w:p>
    <w:p>
      <w:pPr>
        <w:pStyle w:val="Heading1"/>
      </w:pPr>
      <w:r>
        <w:t>Fridlysta arter</w:t>
      </w:r>
    </w:p>
    <w:p>
      <w:r>
        <w:t>Följande fridlysta arter har sina livsmiljöer och växtplatser i den avverkningsanmälda skogen: tretåig hackspett (NT, §4) och spindelblomster (S,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9 naturvårdsarter varav 7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