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3557-2025 i Jokkmokks kommun</w:t>
      </w:r>
    </w:p>
    <w:p>
      <w:r>
        <w:t>Detta dokument behandlar höga naturvärden i avverkningsanmälan A 3557-2025 i Jokkmokks kommun. Denna avverkningsanmälan inkom 2025-01-23 00:00:00 och omfattar 60,6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kritporing (CR), urskogsporing (EN), fläckporing (VU), gräddporing (VU), knärot (VU, §8), norna (VU, §7), rostskinn (VU), slemringad vaxskivling (VU), tajgataggsvamp (VU), tvillingspindling (VU), blanksvart spiklav (NT), blå taggsvamp (NT), blågrå svartspik (NT), dvärgbägarlav (NT), granticka (NT), gränsticka (NT), hornvaxskinn (NT), knottrig blåslav (NT), kolflarnlav (NT), mjölsvärting (NT), mörk kolflarnlav (NT), nordtagging (NT), orange taggsvamp (NT), reliktbock (NT), skrovellav (NT), stjärntagging (NT), svartvit taggsvamp (NT), tallriska (NT), talltaggsvamp (NT), vaddporing (NT), vedflamlav (NT), vedskivlav (NT), vedtrappmossa (NT), violmussling (NT), vitplätt (NT), blå slemspindling (S), bårdlav (S), diskvaxskivling (S), dropptaggsvamp (S), skarp dropptaggsvamp (S), skinnlav (S), stuplav (S) och vedticka (S).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1177"/>
            <wp:docPr id="1" name="Picture 1"/>
            <wp:cNvGraphicFramePr>
              <a:graphicFrameLocks noChangeAspect="1"/>
            </wp:cNvGraphicFramePr>
            <a:graphic>
              <a:graphicData uri="http://schemas.openxmlformats.org/drawingml/2006/picture">
                <pic:pic>
                  <pic:nvPicPr>
                    <pic:cNvPr id="0" name="A 3557-2025 karta.png"/>
                    <pic:cNvPicPr/>
                  </pic:nvPicPr>
                  <pic:blipFill>
                    <a:blip r:embed="rId16"/>
                    <a:stretch>
                      <a:fillRect/>
                    </a:stretch>
                  </pic:blipFill>
                  <pic:spPr>
                    <a:xfrm>
                      <a:off x="0" y="0"/>
                      <a:ext cx="5486400" cy="31011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7400998, E 691310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Slemringad vaxskivling (VU)</w:t>
      </w:r>
      <w:r>
        <w:t xml:space="preserve"> bildar mykorrhiza med tall, ev. även med gran, på kalkrik mark i barrskog, helst kalktallskog. Storskaligt skogsbruk, särskilt slutavverkning och markberedning skadar arten. Det är önskvärt att individrika lokaler kan bevaras i befintligt skick och att slutavverkning och markberedning undviks på övriga växtplatser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och norna (VU, §7).</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74 fyndplatser för knärot registrerade på Artportalen. Figur 2 visar gränserna för buffertzoner på 50 m, som behöver lämnas kring fyndplatserna för att knärotslokalerna inte ska försvinna vid en avverkning. Av det avverkningsanmälda området överlappar 20.34 ha med buffertzonerna och får av detta skäl inte avverkas.</w:t>
      </w:r>
    </w:p>
    <w:p>
      <w:pPr>
        <w:pStyle w:val="Caption"/>
      </w:pPr>
      <w:r>
        <w:drawing>
          <wp:inline xmlns:a="http://schemas.openxmlformats.org/drawingml/2006/main" xmlns:pic="http://schemas.openxmlformats.org/drawingml/2006/picture">
            <wp:extent cx="5486400" cy="4235882"/>
            <wp:docPr id="2" name="Picture 2"/>
            <wp:cNvGraphicFramePr>
              <a:graphicFrameLocks noChangeAspect="1"/>
            </wp:cNvGraphicFramePr>
            <a:graphic>
              <a:graphicData uri="http://schemas.openxmlformats.org/drawingml/2006/picture">
                <pic:pic>
                  <pic:nvPicPr>
                    <pic:cNvPr id="0" name="A 3557-2025 karta knärot.png"/>
                    <pic:cNvPicPr/>
                  </pic:nvPicPr>
                  <pic:blipFill>
                    <a:blip r:embed="rId17"/>
                    <a:stretch>
                      <a:fillRect/>
                    </a:stretch>
                  </pic:blipFill>
                  <pic:spPr>
                    <a:xfrm>
                      <a:off x="0" y="0"/>
                      <a:ext cx="5486400" cy="423588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7400998, E 691310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35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