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3557-2025 i Jokkmokks kommun</w:t>
      </w:r>
    </w:p>
    <w:p>
      <w:r>
        <w:t>Detta dokument behandlar höga naturvärden i avverkningsanmälan A 3557-2025 i Jokkmokks kommun. Denna avverkningsanmälan inkom 2025-01-23 00:00:00 och omfattar 60,6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43 naturvårdsarter hittats: kritporing (CR), urskogsporing (EN), fläckporing (VU), gräddporing (VU), knärot (VU, §8), norna (VU, §7), rostskinn (VU), slemringad vaxskivling (VU), tajgataggsvamp (VU), tvillingspindling (VU), blanksvart spiklav (NT), blå taggsvamp (NT), blågrå svartspik (NT), dvärgbägarlav (NT), granticka (NT), gränsticka (NT), hornvaxskinn (NT), knottrig blåslav (NT), kolflarnlav (NT), mjölsvärting (NT), mörk kolflarnlav (NT), nordtagging (NT), orange taggsvamp (NT), reliktbock (NT), skrovellav (NT), stjärntagging (NT), svartvit taggsvamp (NT), tallriska (NT), talltaggsvamp (NT), vaddporing (NT), vedflamlav (NT), vedskivlav (NT), vedtrappmossa (NT), violmussling (NT), vitplätt (NT), blå slemspindling (S), bårdlav (S), diskvaxskivling (S), dropptaggsvamp (S), skarp dropptaggsvamp (S), skinnlav (S), stuplav (S) och vedticka (S).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01177"/>
            <wp:docPr id="1" name="Picture 1"/>
            <wp:cNvGraphicFramePr>
              <a:graphicFrameLocks noChangeAspect="1"/>
            </wp:cNvGraphicFramePr>
            <a:graphic>
              <a:graphicData uri="http://schemas.openxmlformats.org/drawingml/2006/picture">
                <pic:pic>
                  <pic:nvPicPr>
                    <pic:cNvPr id="0" name="A 3557-2025 karta.png"/>
                    <pic:cNvPicPr/>
                  </pic:nvPicPr>
                  <pic:blipFill>
                    <a:blip r:embed="rId16"/>
                    <a:stretch>
                      <a:fillRect/>
                    </a:stretch>
                  </pic:blipFill>
                  <pic:spPr>
                    <a:xfrm>
                      <a:off x="0" y="0"/>
                      <a:ext cx="5486400" cy="31011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7400998, E 691310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Slemringad vaxskivling (VU)</w:t>
      </w:r>
      <w:r>
        <w:t xml:space="preserve"> bildar mykorrhiza med tall, ev. även med gran, på kalkrik mark i barrskog, helst kalktallskog. Storskaligt skogsbruk, särskilt slutavverkning och markberedning skadar arten. Det är önskvärt att individrika lokaler kan bevaras i befintligt skick och att slutavverkning och markberedning undviks på övriga växtplatser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Tajgataggsvamp (VU) </w:t>
      </w:r>
      <w:r>
        <w:t xml:space="preserve">är en sällsynt art som bildar mykorrhiza med tall och växer på marken under gamla tallågor, stubbar och även grenar av tall i brandpräglad torr tallskog på mager sandig mark med lång kontinuitet. Den är placerad högst upp i Skogsstyrelsens värdepyramid för bedömning av skog med höga naturvärden och flertalet växtplatser bör skyddas långsiktigt genom att öka arealen skyddad, brandpräglad, mager tallskog med trädkontinuitet. Troligtvis sammanblandas arten då och då med svartvit taggsvamp </w:t>
      </w:r>
      <w:r>
        <w:rPr>
          <w:i/>
        </w:rPr>
        <w:t>Phellodon connatus</w:t>
      </w:r>
      <w:r>
        <w:t xml:space="preserve"> som vid DNA-undersökningar visat sig ha flera olika former. Tajgataggsvamp är globalt rödlistad som sårbar (VU) vilket innebär att Sverige har ett internationellt ansvar för arten (IUCN, 2025;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Urskogsporing (EN)</w:t>
      </w:r>
      <w:r>
        <w:t xml:space="preserve"> är en starkt hotad art som växer på lågor av barrträd, företrädesvis tall, mer sällan gran. Den är hittills bara påträffad i äldre skogsbestånd med tydlig naturskogskaraktär. Urskogsporingen är förmodligen gynnad av brand och den typ av ved som arten växer på nyskapas knappast alls i modernt skogsbruk. Kända lokaler måste skyddas och undantas från skogsbruk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knärot (VU, §8) och norna (VU, §7).</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74 fyndplatser för knärot registrerade på Artportalen. Figur 2 visar gränserna för buffertzoner på 50 m, som behöver lämnas kring fyndplatserna för att knärotslokalerna inte ska försvinna vid en avverkning. Av det avverkningsanmälda området överlappar 20.34 ha med buffertzonerna och får av detta skäl inte avverkas.</w:t>
      </w:r>
    </w:p>
    <w:p>
      <w:pPr>
        <w:pStyle w:val="Caption"/>
      </w:pPr>
      <w:r>
        <w:drawing>
          <wp:inline xmlns:a="http://schemas.openxmlformats.org/drawingml/2006/main" xmlns:pic="http://schemas.openxmlformats.org/drawingml/2006/picture">
            <wp:extent cx="5486400" cy="4235882"/>
            <wp:docPr id="2" name="Picture 2"/>
            <wp:cNvGraphicFramePr>
              <a:graphicFrameLocks noChangeAspect="1"/>
            </wp:cNvGraphicFramePr>
            <a:graphic>
              <a:graphicData uri="http://schemas.openxmlformats.org/drawingml/2006/picture">
                <pic:pic>
                  <pic:nvPicPr>
                    <pic:cNvPr id="0" name="A 3557-2025 karta knärot.png"/>
                    <pic:cNvPicPr/>
                  </pic:nvPicPr>
                  <pic:blipFill>
                    <a:blip r:embed="rId17"/>
                    <a:stretch>
                      <a:fillRect/>
                    </a:stretch>
                  </pic:blipFill>
                  <pic:spPr>
                    <a:xfrm>
                      <a:off x="0" y="0"/>
                      <a:ext cx="5486400" cy="423588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7400998, E 691310 i SWEREF 99 TM.</w:t>
      </w:r>
    </w:p>
    <w:p>
      <w:pPr>
        <w:pStyle w:val="Caption"/>
      </w:pPr>
    </w:p>
    <w:p>
      <w:r>
        <w:rPr>
          <w:b/>
        </w:rPr>
        <w:t xml:space="preserve">Norna (VU, §7) </w:t>
      </w:r>
      <w:r>
        <w:t>är strikt skyddad enligt EU:s art- och habitatdirektiv och fridlyst enligt §7 Artskyddsförordningen (bilaga 1) vilket innebär att hela dess livsmiljö ska bevaras. Den är rödlistad som nära hotad (NT) i den europeiska rödlistan och växer i frisk–fuktig, mossrik barrskog, oftast i små sänkor i granskog med hög bonitet. Växtplatsen utgörs nästan alltid av sluttningar med rikligt och rörligt markvatten. Underlaget är genomgående grönsten eller kalkrikt material. Nornan är känslig för alla större ingrepp i sin miljö och överlever därför vanligtvis inte slutavverkning. Den klarar inte den uttorkning av markens ytskikt som slutavverkning normalt medför och inte heller kvarlämnande av större mängd hyggesavfall. Populationen har minskat kraftigare än vad som tidigare varit känt och arten hamnade därför i en högre rödlistekategori 2020 (SLU Artdatabanken, 2024; IUCN, 2024).</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