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18 meter från avverkningsanmälan finns fynd av 8 naturvårdsarter, varav 7 är rödlistade, 5 är typiska (T) och 1 är signalart (S): gräddporing (VU, T), smalfotad taggsvamp (VU), spadskinn (VU), blå taggsvamp (NT, T), dropptaggsvamp (NT, T), dvärgbägarlav (NT, T), orange 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