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26107-2025 i Jokkmokks kommun</w:t>
      </w:r>
    </w:p>
    <w:p>
      <w:r>
        <w:t>Denna tillsynsbegäran behandlar höga naturvärden i avverkningsanmälan A 26107-2025 i Jokkmokks kommun som inkom 2025-05-28 och omfattar 17,7 ha.</w:t>
      </w:r>
    </w:p>
    <w:p>
      <w:pPr>
        <w:pStyle w:val="Caption"/>
      </w:pPr>
      <w:r>
        <w:drawing>
          <wp:inline xmlns:a="http://schemas.openxmlformats.org/drawingml/2006/main" xmlns:pic="http://schemas.openxmlformats.org/drawingml/2006/picture">
            <wp:extent cx="4655913" cy="5724000"/>
            <wp:docPr id="1" name="Picture 1"/>
            <wp:cNvGraphicFramePr>
              <a:graphicFrameLocks noChangeAspect="1"/>
            </wp:cNvGraphicFramePr>
            <a:graphic>
              <a:graphicData uri="http://schemas.openxmlformats.org/drawingml/2006/picture">
                <pic:pic>
                  <pic:nvPicPr>
                    <pic:cNvPr id="0" name="A 26107-2025 karta.png"/>
                    <pic:cNvPicPr/>
                  </pic:nvPicPr>
                  <pic:blipFill>
                    <a:blip r:embed="rId16"/>
                    <a:stretch>
                      <a:fillRect/>
                    </a:stretch>
                  </pic:blipFill>
                  <pic:spPr>
                    <a:xfrm>
                      <a:off x="0" y="0"/>
                      <a:ext cx="4655913" cy="5724000"/>
                    </a:xfrm>
                    <a:prstGeom prst="rect"/>
                  </pic:spPr>
                </pic:pic>
              </a:graphicData>
            </a:graphic>
          </wp:inline>
        </w:drawing>
      </w:r>
    </w:p>
    <w:p>
      <w:pPr>
        <w:pStyle w:val="Caption"/>
        <w:spacing w:after="240"/>
      </w:pPr>
      <w:r>
        <w:t>Figur 1. Fyndplatser för naturvårdsarter i och inom 24 meter från avverkningsanmälan. Markörer utan svart kant är placerade på fyndplatsen. Markörer med svart kant är placerade vid sidan av fyndplatsen och har ett svart streck som visar fyndplatsens exakta position. Kartans mittpunktskoordinat är N 7396423, E 668475 i SWEREF 99 TM.</w:t>
      </w:r>
    </w:p>
    <w:p>
      <w:r>
        <w:t>I och inom 24 meter från avverkningsanmälan finns fynd av 19 naturvårdsarter, varav 15 är rödlistade, 4 är fridlysta, 14 är typiska (T) och 3 är signalarter (S): mörk blåslav (VU, T), blanksvart spiklav (NT), gammelgransskål (NT, T), harticka (NT, T), knottrig blåslav (NT, T), lavskrika (NT, T, §4), rosenticka (NT, T), rödbrun blekspik (NT, T), skrovellav (NT, T), stjärntagging (NT, T), talltita (NT, §4), tretåig hackspett (NT, T, §4), vedflamlav (NT), vedskivlav (NT, T), vitgrynig nållav (NT), blodticka (S, T), bronshjon (S, T), bårdlav (S, 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Mörk blåslav (VU)</w:t>
      </w:r>
      <w:r>
        <w:t xml:space="preserve"> förekommer i huvudsak i fjällnära skog i det översta barrskogsbältet och i fjällbjörkskog. Den växer på träd, främst gran, tall och björk, men ibland också på klippor och i så fall ofta på kalkrik berggrund. Flera av förekomsterna är belägna vid vattenfall eller forsar vilket indikerar att den kräver hög luftfuktighet. Avverkning av gammal fjällnära skog är det största hotet. Samtliga lokaler bör skyddas. Mörk blåslav är typisk art för </w:t>
      </w:r>
      <w:r>
        <w:rPr>
          <w:i/>
        </w:rPr>
        <w:t xml:space="preserve">9010 Taiga </w:t>
      </w:r>
      <w:r>
        <w:t>(SLU Artdatabanken, 2025).</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Harticka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Knottrig blåslav (NT)</w:t>
      </w:r>
      <w:r>
        <w:t xml:space="preserve"> har sin huvudutbredning i gamla granskogar i det övre barrskogsbältet mot fjällen. Den signalerar alltid höga naturvärden och växer i skogar med lång kontinuitet, mest i opåverkade naturskogsbestånd. Arten överlever inte en slutavverkning (inklusive hänsyn) och den finns idag enbart i kontinuitetsskog. Lavens fortsatta förekomst bör säkerställas genom att lokaler med äldre barrskog skyddas. Knottrig blåslav är typisk art för </w:t>
      </w:r>
      <w:r>
        <w:rPr>
          <w:i/>
        </w:rPr>
        <w:t xml:space="preserve">9010 Taiga </w:t>
      </w:r>
      <w:r>
        <w:t>och</w:t>
      </w:r>
      <w:r>
        <w:rPr>
          <w:i/>
        </w:rPr>
        <w:t xml:space="preserve"> 9040 Fjällbjörkskog</w:t>
      </w:r>
    </w:p>
    <w:p>
      <w:r>
        <w:t>(SLU Artdatabanken, 2024; Nitare &amp; Skogsstyrelsen, 2019).</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är typisk art för </w:t>
      </w:r>
      <w:r>
        <w:rPr>
          <w:i/>
        </w:rPr>
        <w:t xml:space="preserve">9010 Taiga, 9020 Nordlig ädellövskog, 9070 Trädklädd betesmark, 9160 Näringsrik ekskog </w:t>
      </w:r>
      <w:r>
        <w:t xml:space="preserve">och </w:t>
      </w:r>
      <w:r>
        <w:rPr>
          <w:i/>
        </w:rPr>
        <w:t>9180 Ädellövskog i branter</w:t>
      </w:r>
      <w:r>
        <w:t xml:space="preserve"> och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Vedskivlav är typisk art för </w:t>
      </w:r>
      <w:r>
        <w:rPr>
          <w:i/>
        </w:rPr>
        <w:t>9010 Taiga</w:t>
      </w:r>
      <w:r>
        <w:t xml:space="preserve">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p>
      <w:r>
        <w:rPr>
          <w:b/>
        </w:rPr>
        <w:t>Bårdlav</w:t>
      </w:r>
      <w:r>
        <w:t xml:space="preserve"> signalerar miljöer med höga naturvärden och på lokalerna finns vanligtvis många andra ovanliga och rödlistade arter. Den visar även på platser med hög och jämn luftfuktighet. På bårdlav och andra njurlavar (Nephroma) kan de sällsynta parasiterna </w:t>
      </w:r>
      <w:r>
        <w:rPr>
          <w:i/>
        </w:rPr>
        <w:t xml:space="preserve">Protounguicularia nephromatis </w:t>
      </w:r>
      <w:r>
        <w:t xml:space="preserve">(VU) och </w:t>
      </w:r>
      <w:r>
        <w:rPr>
          <w:i/>
        </w:rPr>
        <w:t xml:space="preserve">Tremella nephromatis </w:t>
      </w:r>
      <w:r>
        <w:t xml:space="preserve">(DD) påträffas. Bårdlav är typisk art för </w:t>
      </w:r>
      <w:r>
        <w:rPr>
          <w:i/>
        </w:rPr>
        <w:t xml:space="preserve">9010 Taiga, 9020 Nordlig ädellövskog, 9070 Trädklädd betesmark, 9110 Näringsfattig bokskog, 9160 Näringsrik ekskog, 9180 Ädellövskog i branter </w:t>
      </w:r>
      <w:r>
        <w:t>och</w:t>
      </w:r>
      <w:r>
        <w:rPr>
          <w:i/>
        </w:rPr>
        <w:t xml:space="preserve"> 9190 Näringsfattig ekskog</w:t>
      </w:r>
      <w:r>
        <w:t xml:space="preserve"> (SLU Artdatabanken, 2026; Nitare &amp; Skogsstyrelsen, 2019).</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mörk blåslav (VU, T), gammelgransskål (NT, T), harticka (NT, T), knottrig blåslav (NT, T), lavskrika (NT, T, §4), rosenticka (NT, T), rödbrun blekspik (NT, T), skrovellav (NT, T), stjärntagging (NT, T), tretåig hackspett (NT, T, §4), vedskivlav (NT, T), blodticka (S, T), bronshjon (S, T) och bårdlav (S, T).</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2" name="Picture 2"/>
            <wp:cNvGraphicFramePr>
              <a:graphicFrameLocks noChangeAspect="1"/>
            </wp:cNvGraphicFramePr>
            <a:graphic>
              <a:graphicData uri="http://schemas.openxmlformats.org/drawingml/2006/picture">
                <pic:pic>
                  <pic:nvPicPr>
                    <pic:cNvPr id="0" name="uppföljning av västlig taiga.jpeg"/>
                    <pic:cNvPicPr/>
                  </pic:nvPicPr>
                  <pic:blipFill>
                    <a:blip r:embed="rId17"/>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