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461-2025 i Jokkmokks kommun</w:t>
      </w:r>
    </w:p>
    <w:p>
      <w:r>
        <w:t>Detta dokument behandlar höga naturvärden i avverkningsanmälan A 461-2025 i Jokkmokks kommun. Denna avverkningsanmälan inkom 2025-01-07 och omfattar 7,6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blå taggsvamp (NT) och mörk kolflarnlav (NT). Av dessa är 2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511691"/>
            <wp:docPr id="1" name="Picture 1"/>
            <wp:cNvGraphicFramePr>
              <a:graphicFrameLocks noChangeAspect="1"/>
            </wp:cNvGraphicFramePr>
            <a:graphic>
              <a:graphicData uri="http://schemas.openxmlformats.org/drawingml/2006/picture">
                <pic:pic>
                  <pic:nvPicPr>
                    <pic:cNvPr id="0" name="A 461-2025 karta.png"/>
                    <pic:cNvPicPr/>
                  </pic:nvPicPr>
                  <pic:blipFill>
                    <a:blip r:embed="rId16"/>
                    <a:stretch>
                      <a:fillRect/>
                    </a:stretch>
                  </pic:blipFill>
                  <pic:spPr>
                    <a:xfrm>
                      <a:off x="0" y="0"/>
                      <a:ext cx="5486400" cy="351169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7426594, E 704872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2025-02-05</w:t>
      <w:br/>
      <w:br/>
    </w:r>
    <w:r>
      <w:t>Till: Övriga statliga verk och myndigheter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