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14786-2026 i Jokkmokks kommun</w:t>
      </w:r>
    </w:p>
    <w:p>
      <w:r>
        <w:t>Detta klagomål behandlar höga naturvärden i avverkningsanmälan A 14786-2026 i Jokkmokks kommun som inkom 2026-03-20 och omfattar 3,0 ha.</w:t>
      </w:r>
    </w:p>
    <w:p>
      <w:pPr>
        <w:pStyle w:val="Caption"/>
      </w:pPr>
      <w:r>
        <w:drawing>
          <wp:inline xmlns:a="http://schemas.openxmlformats.org/drawingml/2006/main" xmlns:pic="http://schemas.openxmlformats.org/drawingml/2006/picture">
            <wp:extent cx="5486400" cy="5120639"/>
            <wp:docPr id="1" name="Picture 1"/>
            <wp:cNvGraphicFramePr>
              <a:graphicFrameLocks noChangeAspect="1"/>
            </wp:cNvGraphicFramePr>
            <a:graphic>
              <a:graphicData uri="http://schemas.openxmlformats.org/drawingml/2006/picture">
                <pic:pic>
                  <pic:nvPicPr>
                    <pic:cNvPr id="0" name="A 14786-2026 karta.png"/>
                    <pic:cNvPicPr/>
                  </pic:nvPicPr>
                  <pic:blipFill>
                    <a:blip r:embed="rId16"/>
                    <a:stretch>
                      <a:fillRect/>
                    </a:stretch>
                  </pic:blipFill>
                  <pic:spPr>
                    <a:xfrm>
                      <a:off x="0" y="0"/>
                      <a:ext cx="5486400" cy="5120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7375701, E 753107 i SWEREF 99 TM.</w:t>
      </w:r>
    </w:p>
    <w:p>
      <w:r>
        <w:t>I avverkningsanmälan finns fynd av 6 naturvårdsarter, varav 1 är fridlyst, 5 är typiska (T) och 2 är signalarter (S): bollvitmossa (S, T), luddlav (S, T), brudborste (T), ekbräken (T), linnea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