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32992-2026 i Jokkmokks kommun</w:t>
      </w:r>
    </w:p>
    <w:p>
      <w:r>
        <w:t>Denna tillsynsbegäran behandlar höga naturvärden i avverkningsanmälan A 32992-2026 i Jokkmokks kommun som inkom 2026-08-10 och omfattar 13,7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32992-2026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7335077, E 714649 i SWEREF 99 TM.</w:t>
      </w:r>
    </w:p>
    <w:p>
      <w:r>
        <w:t>I och inom 2 meter från avverkningsanmälan finns fynd av 23 naturvårdsarter, varav 22 är rödlistade, 2 är fridlysta och 9 är typiska (T): fläckporing (VU, T), gräddporing (VU, T), skrovlig taggsvamp (VU), smalfotad taggsvamp (VU), smultronkantarell (VU), tajgataggsvamp (VU), blanksvart spiklav (NT), blågrå svartspik (NT), dropptaggsvamp (NT, T), dvärgbägarlav (NT, T), kolflarnlav (NT, T), lavskrika (NT, T, §4), mörk kolflarnlav (NT), nordtagging (NT), skarp dropptaggsvamp (NT), svartvit taggsvamp (NT), tallriska (NT), talltagel (NT, T), vaddporing (NT), vedflamlav (NT), vedskivlav (NT, T), vitplätt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dropptaggsvamp (NT, T), dvärgbägarlav (NT, T), kolflarnlav (NT, T), lavskrika (NT, T, §4), talltagel (NT, T), vedskivlav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