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3557-2025 i Jokkmokks kommun</w:t>
      </w:r>
    </w:p>
    <w:p>
      <w:r>
        <w:t>Detta dokument behandlar höga naturvärden i avverkningsanmälan A 3557-2025 i Jokkmokks kommun. Denna avverkningsanmälan inkom 2025-01-23 00:00:00 och omfattar 60,6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43 naturvårdsarter hittats: kritporing (CR), urskogsporing (EN), fläckporing (VU), gräddporing (VU), knärot (VU, §8), norna (VU, §7), rostskinn (VU), slemringad vaxskivling (VU), tajgataggsvamp (VU), tvillingspindling (VU), blanksvart spiklav (NT), blå taggsvamp (NT), blågrå svartspik (NT), dvärgbägarlav (NT), granticka (NT), gränsticka (NT), hornvaxskinn (NT), knottrig blåslav (NT), kolflarnlav (NT), mjölsvärting (NT), mörk kolflarnlav (NT), nordtagging (NT), orange taggsvamp (NT), reliktbock (NT), skrovellav (NT), stjärntagging (NT), svartvit taggsvamp (NT), tallriska (NT), talltaggsvamp (NT), vaddporing (NT), vedflamlav (NT), vedskivlav (NT), vedtrappmossa (NT), violmussling (NT), vitplätt (NT), blå slemspindling (S), bårdlav (S), diskvaxskivling (S), dropptaggsvamp (S), skarp dropptaggsvamp (S), skinnlav (S), stuplav (S) och vedticka (S). Av dessa är 35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1177"/>
            <wp:docPr id="1" name="Picture 1"/>
            <wp:cNvGraphicFramePr>
              <a:graphicFrameLocks noChangeAspect="1"/>
            </wp:cNvGraphicFramePr>
            <a:graphic>
              <a:graphicData uri="http://schemas.openxmlformats.org/drawingml/2006/picture">
                <pic:pic>
                  <pic:nvPicPr>
                    <pic:cNvPr id="0" name="A 3557-2025 karta.png"/>
                    <pic:cNvPicPr/>
                  </pic:nvPicPr>
                  <pic:blipFill>
                    <a:blip r:embed="rId16"/>
                    <a:stretch>
                      <a:fillRect/>
                    </a:stretch>
                  </pic:blipFill>
                  <pic:spPr>
                    <a:xfrm>
                      <a:off x="0" y="0"/>
                      <a:ext cx="5486400" cy="31011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7400998, E 691310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Blå slemspindling</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Blå slemspindling är typisk art för </w:t>
      </w:r>
      <w:r>
        <w:rPr>
          <w:i/>
        </w:rPr>
        <w:t xml:space="preserve">9050 Näringsrik granskog </w:t>
      </w:r>
      <w:r>
        <w:t>(SLU Artdatabanken, 2025; Nitare &amp; Skogsstyrelsen, 2019).</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Gränsticka är typisk art för </w:t>
      </w:r>
      <w:r>
        <w:rPr>
          <w:i/>
        </w:rPr>
        <w:t>9010 Taiga</w:t>
      </w:r>
      <w:r>
        <w:t xml:space="preserve"> (SLU Artdatabanken, 2024; Nitare &amp; Skogsstyrelsen, 2019).</w:t>
      </w:r>
    </w:p>
    <w:p>
      <w:r>
        <w:rPr>
          <w:b/>
        </w:rPr>
        <w:t xml:space="preserve">Hornvaxskinn (NT) </w:t>
      </w:r>
      <w:r>
        <w:t>påträffas på gamla senvuxna, torra och hårda lågor i gamla naturskogsartade eller plockhuggna tallskogar i norra Sverige. Arten hotas av avverkning av naturskogsartade tallskogar och uttag av torrakor till timring av byggnader. Avverkning av naturskogsliknande tallskogar bör ej förekomma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rPr>
          <w:b/>
        </w:rPr>
        <w:t>Mjölsvärting (NT)</w:t>
      </w:r>
      <w:r>
        <w:t xml:space="preserve"> växer i luckig barrskog, huvudsakligen på tallhed och i äldre skog. Mager, äldre tallskog och barrblandskog med lång trädkontinuitet bör undantas från trakthyggesbruk. Mjölsvärtingens lokaler är ofta nyckelbiotoper och bör då sparas i sin helhet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 xml:space="preserve">Rostskinn (VU) </w:t>
      </w:r>
      <w:r>
        <w:t>är en mycket sällsynt vednedbrytare i liggande, murkna stammar av gran och tall i frisk till fuktig barrskog. Artens missgynnas av avverkning och minskad tillgång på döda träd. Arten bör eftersökas i lämpliga naturskogar i Norrland så att dess status bättre kan beläggas. I väntan på detta bör alla kända växtplatser hållas under uppsikt och skydd övervägas vid påkallat behov (SLU Artdatabanken, 2024).</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Slemringad vaxskivling (VU)</w:t>
      </w:r>
      <w:r>
        <w:t xml:space="preserve"> bildar mykorrhiza med tall, ev. även med gran, på kalkrik mark i barrskog, helst kalktallskog. Storskaligt skogsbruk, särskilt slutavverkning och markberedning skadar arten. Det är önskvärt att individrika lokaler kan bevaras i befintligt skick och att slutavverkning och markberedning undviks på övriga växtplatser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 xml:space="preserve">(NT) och kilporing (NT). Violmussling är typisk art för </w:t>
      </w:r>
      <w:r>
        <w:rPr>
          <w:i/>
        </w:rPr>
        <w:t>9010 Taiga</w:t>
      </w:r>
      <w:r>
        <w:t xml:space="preserve"> (SLU Artdatabanken, 2024; Nitare &amp; Skogsstyrelsen, 2019).</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och norna (VU, §7).</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74 fyndplatser för knärot registrerade på Artportalen. Figur 2 visar gränserna för buffertzoner på 50 m, som behöver lämnas kring fyndplatserna för att knärotslokalerna inte ska försvinna vid en avverkning. Av det avverkningsanmälda området överlappar 20.34 ha med buffertzonerna och får av detta skäl inte avverkas.</w:t>
      </w:r>
    </w:p>
    <w:p>
      <w:pPr>
        <w:pStyle w:val="Caption"/>
      </w:pPr>
      <w:r>
        <w:drawing>
          <wp:inline xmlns:a="http://schemas.openxmlformats.org/drawingml/2006/main" xmlns:pic="http://schemas.openxmlformats.org/drawingml/2006/picture">
            <wp:extent cx="5486400" cy="4235882"/>
            <wp:docPr id="2" name="Picture 2"/>
            <wp:cNvGraphicFramePr>
              <a:graphicFrameLocks noChangeAspect="1"/>
            </wp:cNvGraphicFramePr>
            <a:graphic>
              <a:graphicData uri="http://schemas.openxmlformats.org/drawingml/2006/picture">
                <pic:pic>
                  <pic:nvPicPr>
                    <pic:cNvPr id="0" name="A 3557-2025 karta knärot.png"/>
                    <pic:cNvPicPr/>
                  </pic:nvPicPr>
                  <pic:blipFill>
                    <a:blip r:embed="rId17"/>
                    <a:stretch>
                      <a:fillRect/>
                    </a:stretch>
                  </pic:blipFill>
                  <pic:spPr>
                    <a:xfrm>
                      <a:off x="0" y="0"/>
                      <a:ext cx="5486400" cy="42358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7400998, E 691310 i SWEREF 99 TM.</w:t>
      </w:r>
    </w:p>
    <w:p>
      <w:pPr>
        <w:pStyle w:val="Caption"/>
      </w:pP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