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58743-2025 i Jokkmokks kommun</w:t>
      </w:r>
    </w:p>
    <w:p>
      <w:r>
        <w:t>Detta dokument behandlar höga naturvärden i avverkningsanmälan A 58743-2025 i Jokkmokks kommun som inkom 2025-11-25 och omfattar 3,2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4616953"/>
            <wp:docPr id="1" name="Picture 1"/>
            <wp:cNvGraphicFramePr>
              <a:graphicFrameLocks noChangeAspect="1"/>
            </wp:cNvGraphicFramePr>
            <a:graphic>
              <a:graphicData uri="http://schemas.openxmlformats.org/drawingml/2006/picture">
                <pic:pic>
                  <pic:nvPicPr>
                    <pic:cNvPr id="0" name="A 58743-2025 karta.png"/>
                    <pic:cNvPicPr/>
                  </pic:nvPicPr>
                  <pic:blipFill>
                    <a:blip r:embed="rId16"/>
                    <a:stretch>
                      <a:fillRect/>
                    </a:stretch>
                  </pic:blipFill>
                  <pic:spPr>
                    <a:xfrm>
                      <a:off x="0" y="0"/>
                      <a:ext cx="5486400" cy="4616953"/>
                    </a:xfrm>
                    <a:prstGeom prst="rect"/>
                  </pic:spPr>
                </pic:pic>
              </a:graphicData>
            </a:graphic>
          </wp:inline>
        </w:drawing>
      </w:r>
    </w:p>
    <w:p>
      <w:pPr>
        <w:pStyle w:val="Caption"/>
        <w:spacing w:after="240"/>
      </w:pPr>
      <w:r>
        <w:t>Figur 1. Fyndplatser för naturvårdsarter i och inom 19 meter från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7365999, E 752722 i SWEREF 99 TM.</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och inom 19 meter från avverkningsanmälan har följande 12 naturvårdsarter hittats: goliatmusseron (VU, T), jättemusseron (VU), smalfotad taggsvamp (VU), spadskinn (VU), tajgataggsvamp (VU), blå taggsvamp (NT, T), motaggsvamp (NT, T), orange taggsvamp (NT, T), svartvit taggsvamp (NT), tallriska (NT), talltaggsvamp (NT) och mindre märgborre (S, T). Av dessa är 11 rödlistade. För rödlistade arter har rödlistekategorin angivits inom parentes. Arter som är signalarter enligt Skogsstyrelsen har markerats med (S). Typiska arter inom Natura 2000 som är kopplade till skogsekosystem har markerats med (T).</w:t>
      </w:r>
    </w:p>
    <w:p>
      <w:r>
        <w:t>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Jättemusseron (VU)</w:t>
      </w:r>
      <w:r>
        <w:t xml:space="preserve"> bildar mykorrhiza med tall, i äldre lavtallskog och hällmarkstallskog. Den visar på såväl sandtallskogar som hällmarkstallskogar med långvarig tallkontinuitet och svampen är sannolikt en kvarleva (relikt) på sina samtliga växtplatser. Arten är placerad högst upp i Skogsstyrelsens värdepyramid för bedömning av skog med höga naturvärden och slutavverkning bör tills vidare undvikas i skogsbestånd där arten är känd. Jättemusseron är globalt rödlistad som sårbar (VU) och Sverige och Norge har sannolikt merparten av den europeiska populationen och därmed ett särskilt ansvar för dess bevarande (IUCN, 2025;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Spadskinn (VU)</w:t>
      </w:r>
      <w:r>
        <w:t xml:space="preserve"> är knuten till tallskogar med höga naturvärden och artens potentiella miljöer har minskat kraftigt och fortsätter att minska eftersom äldre sandtallskogar avverkas. Mykorrhiza-arter och andra marklevande svampar påverkas starkt negativt av slutavverkning då alla träd avlägsnas. Spadskinn är globalt rödlistad som sårbar (VU) vilket innebär att Sverige har ett internationellt ansvar för arten. Fler områden där arten förekommer behöver skyddas (SLU Artdatabanken, 2024; Nitare &amp; Skogsstyrelsen, 2019; IUCN, 2019).</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goliatmusseron (VU, T), blå taggsvamp (NT, T), motaggsvamp (NT, T), orange taggsvamp (NT, T) och mindre märgborre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