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som inkom 2022-12-22 och omfattar 28,9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16563" cy="5688000"/>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116563" cy="5688000"/>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7364780, E 737992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3 meter från avverkningsanmälan har följande 26 naturvårdsarter hittats: doftticka (VU, T, §8), garnlav (VU, T), knärot (VU, T, §8), blågrå svartspik (NT), dropptaggsvamp (NT, T), dvärgbägarlav (NT, T), knottrig blåslav (NT, T), kolflarnlav (NT, T), lunglav (NT, T), mörk kolflarnlav (NT), skrovellav (NT, T), stiftgelélav (NT, T), tretåig hackspett (NT, T, §4), vedflamlav (NT), vedskivlav (NT, T), vitplätt (NT), bårdlav (S, T), korallblylav (S, T), luddlav (S, T), nästlav (S, T), skinnlav (S, T), stuplav (S, T), spillkråka (T, §4), tjäder (T, §4), kungsfågel (§4) och revlummer (§9). Av dessa är 16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 knärot (VU, T, §8), tretåig hackspett (NT, T, §4), spillkråka (T, §4), tjäder (T,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603292"/>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6032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dvärgbägarlav (NT, T), knottrig blåslav (NT, T), kolflarnlav (NT, T), lunglav (NT, T), skrovellav (NT, T), stiftgelélav (NT, T), tretåig hackspett (NT, T, §4), vedskivlav (NT, T), bårdlav (S, T), korallblylav (S, T), luddlav (S, T), nästlav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