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19 naturvårdsarter, varav 17 är rödlistade, 3 är fridlysta, 7 är typiska (T) och 1 är signalart (S): gräddporing (VU, T), smalfotad taggsvamp (VU), tajgataggsvamp (VU), torrmusseron (VU), blå taggsvamp (NT, T), dropptaggsvamp (NT, T), dvärgbägarlav (NT, T), mjölsvärting (NT),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