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18 naturvårdsarter, varav 16 är rödlistade, 3 är fridlysta, 7 är typiska (T) och 1 är signalart (S): gräddporing (VU, T), smalfotad taggsvamp (VU), tajgataggsvamp (VU), blå taggsvamp (NT, T), dropptaggsvamp (NT, T), dvärgbägarlav (NT, T), mjölsvärting (NT), Phellodon aquiloniniger (NT), skarp dropptaggsvamp (NT), svartvit taggsvamp (NT), talltaggsvamp (NT), talltita (NT, §4), vaxspindling (NT), vedflamlav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