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55525-2025 i Jokkmokks kommun</w:t>
      </w:r>
    </w:p>
    <w:p>
      <w:r>
        <w:t>Denna tillsynsbegäran behandlar höga naturvärden i avverkningsanmälan A 55525-2025 i Jokkmokks kommun som inkom 2025-11-10 och omfattar 20,3 ha.</w:t>
      </w:r>
    </w:p>
    <w:p>
      <w:pPr>
        <w:pStyle w:val="Caption"/>
      </w:pPr>
      <w:r>
        <w:drawing>
          <wp:inline xmlns:a="http://schemas.openxmlformats.org/drawingml/2006/main" xmlns:pic="http://schemas.openxmlformats.org/drawingml/2006/picture">
            <wp:extent cx="5486400" cy="4996206"/>
            <wp:docPr id="1" name="Picture 1"/>
            <wp:cNvGraphicFramePr>
              <a:graphicFrameLocks noChangeAspect="1"/>
            </wp:cNvGraphicFramePr>
            <a:graphic>
              <a:graphicData uri="http://schemas.openxmlformats.org/drawingml/2006/picture">
                <pic:pic>
                  <pic:nvPicPr>
                    <pic:cNvPr id="0" name="A 55525-2025 karta.png"/>
                    <pic:cNvPicPr/>
                  </pic:nvPicPr>
                  <pic:blipFill>
                    <a:blip r:embed="rId16"/>
                    <a:stretch>
                      <a:fillRect/>
                    </a:stretch>
                  </pic:blipFill>
                  <pic:spPr>
                    <a:xfrm>
                      <a:off x="0" y="0"/>
                      <a:ext cx="5486400" cy="4996206"/>
                    </a:xfrm>
                    <a:prstGeom prst="rect"/>
                  </pic:spPr>
                </pic:pic>
              </a:graphicData>
            </a:graphic>
          </wp:inline>
        </w:drawing>
      </w:r>
    </w:p>
    <w:p>
      <w:pPr>
        <w:pStyle w:val="Caption"/>
        <w:spacing w:after="240"/>
      </w:pPr>
      <w:r>
        <w:t>Figur 1. Fyndplatser för naturvårdsarter i och inom 25 meter från avverkningsanmälan. Markörer utan svart kant är placerade på fyndplatsen. Markörer med svart kant är placerade vid sidan av fyndplatsen och har ett svart streck som visar fyndplatsens exakta position. Kartans mittpunktskoordinat är N 7426729, E 706613 i SWEREF 99 TM.</w:t>
      </w:r>
    </w:p>
    <w:p>
      <w:r>
        <w:t>I och inom 25 meter från avverkningsanmälan finns fynd av 39 naturvårdsarter, varav 30 är rödlistade, 7 är fridlysta, 25 är typiska (T) och 5 är signalarter (S): kritporing (CR), fläckporing (VU, T), grenlav (VU), gräddporing (VU, T), norna (VU, T, §7), ringlav (VU), blå taggsvamp (NT, T), dropptaggsvamp (NT, T), dvärgbägarlav (NT, T), gammelgransskål (NT, T), knottrig blåslav (NT, T), kolflarnlav (NT, T), luddfingersvamp (NT), mörk kolflarnlav (NT), nordtagging (NT), reliktbock (NT, T), stjärntagging (NT, T), talltagel (NT, T), talltaggsvamp (NT), talltita (NT, §4), tretåig hackspett (NT, T, §4), ullticka (NT, T), vaddporing (NT), vaxspindling (NT), vedflamlav (NT), vedskivlav (NT, T), vedtrappmossa (NT, T), violmussling (NT, T), vitgrynig nållav (NT), späd brosklav (DD, T), lappranunkel (S, T, §7), plattlummer (S, T, §9), tibast (S, T), toppvaxing (S), ögonpyrola (S, T), fjällskära (T), kattfot (T), tjäder (T, §4) och vanlig groda (§6).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Kritporing (CR)</w:t>
      </w:r>
      <w:r>
        <w:t xml:space="preserve"> är rödlistad som “akut hotad” vilket innebär att den löper mycket stor risk att dö ut i vilt tillstånd inom en mycket nära framtid. Arten lever på en speciell sorts hård och kådgjuten tallved som det tar mycket lång tid att utveckla, troligen mer än 1000 år enligt Skogsstyrelsens bok </w:t>
      </w:r>
      <w:r>
        <w:rPr>
          <w:i/>
        </w:rPr>
        <w:t>Skyddsvärd skog</w:t>
      </w:r>
      <w:r>
        <w:t xml:space="preserve"> som behandlar naturvårdsarter och andra kriterier för naturvärdesbedömning (Nitare &amp; Skogsstyrelsen, 2019).</w:t>
      </w:r>
    </w:p>
    <w:p>
      <w:r>
        <w:rPr>
          <w:b/>
        </w:rPr>
        <w:t>Fläckporing (VU)</w:t>
      </w:r>
      <w:r>
        <w:t xml:space="preserve"> är en mycket bra signalart som visar på tallnaturskogar med höga naturvärden. Den är placerad högst upp i Skogsstyrelsens värdepyramid för bedömning av skog med höga naturvärden och indikerar områden som är mer eller mindre opåverkade av skogsbruk och där det funnits en kontinuitet av tallågor i olika nedbrytningsstadier. För att på lång sikt bibehålla livskraftiga populationer i ett område behövs troligen större skyddade områden som tillåter att man upprätthåller en naturlig branddynamik. Fläckporing är typisk art för </w:t>
      </w:r>
      <w:r>
        <w:rPr>
          <w:i/>
        </w:rPr>
        <w:t>9010 Taiga</w:t>
      </w:r>
      <w:r>
        <w:t xml:space="preserve"> (SLU Artdatabanken, 2024; Nitare &amp; Skogsstyrelsen, 2019).</w:t>
      </w:r>
    </w:p>
    <w:p>
      <w:r>
        <w:rPr>
          <w:b/>
        </w:rPr>
        <w:t xml:space="preserve">Grenlav (VU) </w:t>
      </w:r>
      <w:r>
        <w:t>förekommer i gamla boreala barrskogar med hög luftfuktighet, särskilt på stora myrar, i fjällnära skog, vid bäckar och i sumpskogar. Den är placerad högst upp i Skogsstyrelsens värdepyramid för bedömning av skog med höga naturvärden och kräver konstant hög luftfuktighet med lång kontinuitet av gamla träd och torrträd. Lokaler med arten bör undantas från skogliga skötselåtgärder och de rikaste lokalerna bör få ett permanent skydd (SLU Artdatabanken, 2024; Nitare &amp; Skogsstyrelsen, 2019).</w:t>
      </w:r>
    </w:p>
    <w:p>
      <w:r>
        <w:rPr>
          <w:b/>
        </w:rPr>
        <w:t>Gräddporing (VU)</w:t>
      </w:r>
      <w:r>
        <w:t xml:space="preserve"> växer nästan enbart i urskogsartad barrskog på gamla, kraftigt murkna, grova och mossbelupna tallågor i något fuktiga och skuggiga lägen. Arten är placerad högst upp i Skogsstyrelsens värdepyramid för bedömning av skog med höga naturvärden och indikerar gamla och relativt orörda tallnaturskogar med höga naturvärden där det under låg tid kontinuerligt funnits inslag av grova tallågor. För att på sikt hejda artens vikande trend behöver merparten av gräddporingens nu kända växtplatser undantas från skogsbruk. Gräddporing är typisk art för </w:t>
      </w:r>
      <w:r>
        <w:rPr>
          <w:i/>
        </w:rPr>
        <w:t>9010 Taiga</w:t>
      </w:r>
      <w:r>
        <w:t xml:space="preserve"> (SLU Artdatabanken, 2024; Nitare &amp; Skogsstyrelsen, 2019).</w:t>
      </w:r>
    </w:p>
    <w:p>
      <w:r>
        <w:rPr>
          <w:b/>
        </w:rPr>
        <w:t xml:space="preserve">Norna (VU, §7) </w:t>
      </w:r>
      <w:r>
        <w:t xml:space="preserve">är strikt skyddad enligt EU:s art- och habitatdirektiv och fridlyst enligt §7 Artskyddsförordningen (bilaga 1) vilket innebär att hela dess livsmiljö ska bevaras. Den är rödlistad som nära hotad (NT) i den europeiska rödlistan och växer i frisk–fuktig, mossrik barrskog, oftast i små sänkor i granskog med hög bonitet. Växtplatsen utgörs nästan alltid av sluttningar med rikligt och rörligt markvatten. Underlaget är genomgående grönsten eller kalkrikt material. Nornan är känslig för alla större ingrepp i sin miljö och överlever därför vanligtvis inte slutavverkning. Den klarar inte den uttorkning av markens ytskikt som slutavverkning normalt medför och inte heller kvarlämnande av större mängd hyggesavfall. Populationen har minskat kraftigare än vad som tidigare varit känt och arten hamnade därför i en högre rödlistekategori 2020. Norna är typisk art för </w:t>
      </w:r>
      <w:r>
        <w:rPr>
          <w:i/>
        </w:rPr>
        <w:t xml:space="preserve">9010 Taiga </w:t>
      </w:r>
      <w:r>
        <w:t xml:space="preserve">och </w:t>
      </w:r>
      <w:r>
        <w:rPr>
          <w:i/>
        </w:rPr>
        <w:t>9050 Näringsrik granskog</w:t>
      </w:r>
      <w:r>
        <w:t xml:space="preserve"> (SLU Artdatabanken, 2024; IUCN, 2024).</w:t>
      </w:r>
    </w:p>
    <w:p>
      <w:r>
        <w:rPr>
          <w:b/>
        </w:rPr>
        <w:t>Ringlav (VU)</w:t>
      </w:r>
      <w:r>
        <w:t>, rödlistad som sårbar, växer oftast på gran och tall i brandrefugiala halvöppna skogar med hög och jämn luftfuktighet. Under de senaste 50 åren har minskningstakten uppgått till 30 (20–40) %. Hur mycket den kommer att minska i framtiden beror på vad som kommer att ske med de stora förekomster som hittats men som ännu saknar skydd. Arten, som är placerad i toppen på Skogsstyrelsen värdepyramid för bedömning av skog med höga naturvärden, är ytterst känslig för förändringar i mikroklimatet och den överlever inte i skogsbestånd som gränsar till kalhyggen. Lavens förekomster tillsammans med väl tilltagna skyddszoner måste skyddas och undantas från produktionsinriktat skogsbruk (SLU Artdatabanken, 2024; Nitare &amp; Skogsstyrelsen, 2019).</w:t>
      </w:r>
    </w:p>
    <w:p>
      <w:r>
        <w:rPr>
          <w:b/>
        </w:rPr>
        <w:t xml:space="preserve">Blå taggsvamp (NT) </w:t>
      </w:r>
      <w:r>
        <w:t xml:space="preserve">är en karaktärsart i såväl örtrika kalkbarrskogar som i torra sandtallskogar där det föreligger gammal skog med långvarig trädkontinuitet. Är sällsynt och mycket kravfull i södra och mellersta Sverige. Den hotas främst av skogsavverkning och tycks försvinna efter slutavverkning, markberedning och plantering. I kalkgranskogar verkar arten vara mycket känslig. Granskogar med arten bör formellt skydddas. Blå taggsvamp (NT) är typisk art för </w:t>
      </w:r>
      <w:r>
        <w:rPr>
          <w:i/>
        </w:rPr>
        <w:t>9010 Taiga</w:t>
      </w:r>
      <w:r>
        <w:t xml:space="preserve"> (SLU Artdatabanken, 2024; Nitare &amp; Skogsstyrelsen, 2019).</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Dvärgbägarlav (NT)</w:t>
      </w:r>
      <w:r>
        <w:t xml:space="preserve"> förekommer över hela Sverige på gammal hård ved, huvudsakligen på tall men i södra Sverige även på ek. Veden utgörs framförallt av grova stubbar, lågor och grenar. Substratet har blivit sällsyntare och nybildning av substrat sker bara i begränsad omfattning. Arten hotas av att grova lågor blir allt sällsyntare i dagens kulturskogar samt att nybildningen av lämpliga substrat går mycket långsamt. En riklig tillgång på gamla tall- eller eklågor måste säkerställas på artens lokaler. Dvärgbägarlav är typisk art för </w:t>
      </w:r>
      <w:r>
        <w:rPr>
          <w:i/>
        </w:rPr>
        <w:t>9010 Taiga</w:t>
      </w:r>
      <w:r>
        <w:t xml:space="preserve"> (SLU Artdatabanken, 2024; Nitare &amp; Skogsstyrelsen, 2019).</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Gammelgransskål är typisk art för </w:t>
      </w:r>
      <w:r>
        <w:rPr>
          <w:i/>
        </w:rPr>
        <w:t>9010 Taiga</w:t>
      </w:r>
      <w:r>
        <w:t xml:space="preserve"> (SLU Artdatabanken, 2024; Nitare &amp; Skogsstyrelsen, 2019).</w:t>
      </w:r>
    </w:p>
    <w:p>
      <w:r>
        <w:rPr>
          <w:b/>
        </w:rPr>
        <w:t>Knottrig blåslav (NT)</w:t>
      </w:r>
      <w:r>
        <w:t xml:space="preserve"> har sin huvudutbredning i gamla granskogar i det övre barrskogsbältet mot fjällen. Den signalerar alltid höga naturvärden och växer i skogar med lång kontinuitet, mest i opåverkade naturskogsbestånd. Arten överlever inte en slutavverkning (inklusive hänsyn) och den finns idag enbart i kontinuitetsskog. Lavens fortsatta förekomst bör säkerställas genom att lokaler med äldre barrskog skyddas. Knottrig blåslav är typisk art för </w:t>
      </w:r>
      <w:r>
        <w:rPr>
          <w:i/>
        </w:rPr>
        <w:t xml:space="preserve">9010 Taiga </w:t>
      </w:r>
      <w:r>
        <w:t>och</w:t>
      </w:r>
      <w:r>
        <w:rPr>
          <w:i/>
        </w:rPr>
        <w:t xml:space="preserve"> 9040 Fjällbjörkskog</w:t>
      </w:r>
    </w:p>
    <w:p>
      <w:r>
        <w:t>(SLU Artdatabanken, 2024; Nitare &amp; Skogsstyrelsen, 2019).</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Luddfingersvamp (NT)</w:t>
      </w:r>
      <w:r>
        <w:t xml:space="preserve"> påträffas på mineralrik mark i granskog med mycket hög luftfuktighet, t.ex. vid källflöden, fuktdråg, bäckar eller i anslutning till vattenfall och forsdimma. Arten är mycket uttorkningskänslig och kräver granskogsmiljöer med konstant mycket hög luftfuktighet. Den tål inte en slutavverkning eller någon form av dränering som påverkar växtplatsens hydrologi (SLU Artdatabanken, 2024).</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p>
      <w:r>
        <w:rPr>
          <w:b/>
        </w:rPr>
        <w:t>Nordtagging (NT)</w:t>
      </w:r>
      <w:r>
        <w:t xml:space="preserve"> växer främst på tallågor av grövre dimensioner och påträffas huvudsakligen i äldre skog som inte kalavverkats. Nordtaggingen missgynnas av att områden med äldre tallskog har minskat starkt. Bekämpning av skogsbränder, samtidigt som skogsbruket omvandlar naturligt glesa tallbestånd till likartade och betydligt tätare bestånd, har missgynnat arten. Bristen på gamla tallågor utgör på sikt ett allvarligt hot och återskapandet av lämpliga biotoper tar mycket lång tid. Områden med olikåldriga bestånd av tall och med stort inslag av äldre träd bör undantas från skoglig produktion (SLU Artdatabanken, 2024).</w:t>
      </w:r>
    </w:p>
    <w:p>
      <w:r>
        <w:rPr>
          <w:b/>
        </w:rPr>
        <w:t>Reliktbock (NT)</w:t>
      </w:r>
      <w:r>
        <w:t xml:space="preserve"> är en skalbagge vars larvutveckling sker i tjock, solexponerad skorpbark på gamla, levande tallar. Ofta i träd som under längre tid stått fritt och öppet, t.ex. i kantzoner i odlingslandskap, längs stränder och åsar, men också i gles, gammal tallskog på mager mark. Arten är brandgynnad genom att omgivande småträd och buskar försvinner vid lågintensiva bränder samtidigt som gamla tallar överlever och förblir solexponerade. Minskningstakten för den svenska populationen bedöms vara nära gränsvärdet för Sårbar (VU) och i den europeiska rödlistan är reliktbock rödlistad som Sårbar (VU) vilket innebär att Sverige har ett internationellt ansvar för arten. Gamla tallskogar bör få ett långsiktigt skydd, och inte slutavverkas. Reliktbock är typisk art för </w:t>
      </w:r>
      <w:r>
        <w:rPr>
          <w:i/>
        </w:rPr>
        <w:t>9010 Taiga</w:t>
      </w:r>
      <w:r>
        <w:t xml:space="preserve"> och</w:t>
      </w:r>
      <w:r>
        <w:rPr>
          <w:i/>
        </w:rPr>
        <w:t xml:space="preserve"> 9060 Åsbarrskog</w:t>
      </w:r>
      <w:r>
        <w:t xml:space="preserve"> (SLU Artdatabanken, 2024; IUCN, 2016).</w:t>
      </w:r>
    </w:p>
    <w:p>
      <w:r>
        <w:rPr>
          <w:b/>
        </w:rPr>
        <w:t>Stjärntagging (NT)</w:t>
      </w:r>
      <w:r>
        <w:t xml:space="preserve"> signalerar inom hela sitt utbredningsområde höga naturvärden. Svampen är uttorkningskänslig och beroende av ett oförändrat fuktigt mikroklimat. Den är även beroende av en ständig tillgång på död ved i olika nedbrytningsstadier, dock ej nödvändigtvis grova träd. Tidigare påverkan på miljön måste dock ha varit så skonsam att det naturliga skogsekosystemet till stora delar har bevarats. Minskningstakten för den svenska populationen bedöms vara nära gränsvärdet för Sårbar (VU). Stjärntagging är typisk art för </w:t>
      </w:r>
      <w:r>
        <w:rPr>
          <w:i/>
        </w:rPr>
        <w:t xml:space="preserve">9010 Taiga, 9050 Näringsrik granskog </w:t>
      </w:r>
      <w:r>
        <w:t xml:space="preserve">och </w:t>
      </w:r>
      <w:r>
        <w:rPr>
          <w:i/>
        </w:rPr>
        <w:t>9030 Landhöjningsskog</w:t>
      </w:r>
      <w:r>
        <w:t xml:space="preserve"> (SLU Artdatabanken, 2024; Nitare &amp; Skogsstyrelsen, 2019).</w:t>
      </w:r>
    </w:p>
    <w:p>
      <w:r>
        <w:rPr>
          <w:b/>
        </w:rPr>
        <w:t>Talltagel (NT)</w:t>
      </w:r>
      <w:r>
        <w:t xml:space="preserve"> är en boreal art som förekommer på tall i äldre, öppna tallskogar. Den påverkas negativt av brist på kontinuitetsskog och minskningstakten bedöms vara nära gränsvärdet för Sårbar (VU). Talltagel är typisk art för </w:t>
      </w:r>
      <w:r>
        <w:rPr>
          <w:i/>
        </w:rPr>
        <w:t>9010 Taiga</w:t>
      </w:r>
      <w:r>
        <w:t xml:space="preserve"> (SLU Artdatabanken, 2026).</w:t>
      </w:r>
    </w:p>
    <w:p>
      <w:r>
        <w:rPr>
          <w:b/>
        </w:rPr>
        <w:t xml:space="preserve">Talltaggsvamp (NT) </w:t>
      </w:r>
      <w:r>
        <w:t>förekommer främst i tallnaturskogar eller tallskogar av kontinuitetsskogskaraktär där den bildar mykorrhiza med tall. Särskilt frekvent är den i sandtallskogar med inslag av gamla träd, t.ex. på grusåsar, stränder och sandhedar. Arten hotas främst av skogsavverkning och tycks försvinna efter slutavverkning, markberedning och plantering. Talltaggsvamp är globalt rödlistad som nära hotad (NT) vilket innebär att Sverige har ett internationellt ansvar för arten (IUCN, 2025; SLU Artdatabanken, 2024).</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 xml:space="preserve">Vaddporing (NT) </w:t>
      </w:r>
      <w:r>
        <w:t>är en brunrötande vednedbrytare som hittas på undersidan av liggande murken tallved i olika former. Substratet utgörs framför allt av den typ av hård, kådimpregnerad och ofta kolad tallved som skapas i brandpräglad skog. Vedtypen nybildas i mycket liten omfattning och det är sannolikt att arten upplever en utdöendeskuld. För att garantera artens fortlevnad bör man både säkra att artens växtplatser hålls intakta samt att långsiktigt säkerställa att ny ved tillkommer, allra helst i omedelbar anslutning till artens växtplatser. Skoglig gallring och annat uttag av virke innebär ett hot mot arten (SLU Artdatabanken, 2024).</w:t>
      </w:r>
    </w:p>
    <w:p>
      <w:r>
        <w:rPr>
          <w:b/>
        </w:rPr>
        <w:t>Vaxspindling (NT)</w:t>
      </w:r>
      <w:r>
        <w:t xml:space="preserve"> växer främst i äldre skogar på sandig mark där den bildar mykorrhiza med tall, framförallt på sandiga lavtallhedar. Mager, sandig och brandpräglad tallskog med lång trädkontinuitet bör undantas från trakthyggesbruk och inte kalavverkas. De mest värdefulla lokalerna bör få ett långsiktigt skydd med naturvårdsinriktad skötsel. Arten är placerad högst upp i Skogsstyrelsens värdepyramid för bedömning av skog med höga naturvärden och den är globalt rödlistad som nära hotad (NT), vilket medför ett internationellt ansvar för arten (SLU Artdatabanken, 2024; Nitare &amp; Skogsstyrelsen, 2019; IUCN, 2019).</w:t>
      </w:r>
    </w:p>
    <w:p>
      <w:r>
        <w:rPr>
          <w:b/>
        </w:rPr>
        <w:t>Vedflamlav (NT)</w:t>
      </w:r>
      <w:r>
        <w:t xml:space="preserve"> växer på gammal hård och torr, exponerad kärnved av tall, främst på högstubbar i ljusöppna lägen, t.ex. vid och på myrar, sjökanter, i glesa hällmarkskogar och i brandpräglade tallnaturskogar. Substratet nyskapas i begränsad omfattning och arten är en utmärkt indikator på höga naturvärden i denna skogstyp. Tall- och barrblandskogar med naturskogskaraktär och spår av bränder har ofta höga biologiska värden och bör skyddas. På vedflamlavens bål kan den sällsynta spiklaven/parasiten </w:t>
      </w:r>
      <w:r>
        <w:rPr>
          <w:i/>
        </w:rPr>
        <w:t>Calicium ramboldiicola</w:t>
      </w:r>
      <w:r>
        <w:t xml:space="preserve"> (VU) påträffas (SLU Artdatabanken, 2026).</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r>
        <w:rPr>
          <w:b/>
        </w:rPr>
        <w:t xml:space="preserve">Vedtrappmossa (NT) </w:t>
      </w:r>
      <w:r>
        <w:t xml:space="preserve">växer på död ved, främst i gammal granskog. Den förekommer knappast alls i fjällnära barrskogar utan finns i skogslandskapet nedom fjällen och framför allt i landets södra delar är den en mycket bra signalart för barrnaturskog med höga naturvärden. Skogsavverkning och brist på grov död ved i skogen är de allvarligaste hoten och den överlever inte kalhyggesbruk. Lokaler med sluten granskog, tillräckligt stora för att säkerställa ett kontinuerligt tillskott på grova lågor, bör undantas från storskaligt skogsbruk. Vedtrappmossa är typisk art för </w:t>
      </w:r>
      <w:r>
        <w:rPr>
          <w:i/>
        </w:rPr>
        <w:t>9010 Taiga</w:t>
      </w:r>
      <w:r>
        <w:t xml:space="preserve"> (SLU Artdatabanken, 2024).</w:t>
      </w:r>
    </w:p>
    <w:p>
      <w:r>
        <w:rPr>
          <w:b/>
        </w:rPr>
        <w:t>Violmussling (NT)</w:t>
      </w:r>
      <w:r>
        <w:t xml:space="preserve"> växer på döda, oftast omkullfallna stammar av gran eller tall. De flesta fynden har gjorts i gammal, orörd skog och arten är en mycket god indikator på förekomst av lång skoglig kontinuitet. Platser som hyser stora bestånd av violmussling bör i första hand skyddas och undantas från skogsbruk. Flera sällsynta och mycket sällsynta tickor och skalbaggar är mer eller mindre starkt associerade med violtickor </w:t>
      </w:r>
      <w:r>
        <w:rPr>
          <w:i/>
        </w:rPr>
        <w:t>Trichaptum spp.</w:t>
      </w:r>
      <w:r>
        <w:t xml:space="preserve"> och död ved som först rötats av någon </w:t>
      </w:r>
      <w:r>
        <w:rPr>
          <w:i/>
        </w:rPr>
        <w:t>Trichaptum-art</w:t>
      </w:r>
      <w:r>
        <w:t>. Bland dessa kan nämnas gul mjukporing (CR), lämmelporing (CR), kilporing (VU), parasitporing (VU), gropig brunbagge (NT), gulbandad brunbagge</w:t>
      </w:r>
      <w:r>
        <w:rPr>
          <w:i/>
        </w:rPr>
        <w:t xml:space="preserve"> </w:t>
      </w:r>
      <w:r>
        <w:t>(NT) och brunkantad brunbagge</w:t>
      </w:r>
      <w:r>
        <w:rPr>
          <w:i/>
        </w:rPr>
        <w:t xml:space="preserve"> </w:t>
      </w:r>
      <w:r>
        <w:t xml:space="preserve">(DD). Violmussling är typisk art för </w:t>
      </w:r>
      <w:r>
        <w:rPr>
          <w:i/>
        </w:rPr>
        <w:t>9010 Taiga</w:t>
      </w:r>
      <w:r>
        <w:t xml:space="preserve"> (SLU Artdatabanken, 2026; Nitare &amp; Skogsstyrelsen, 2019).</w:t>
      </w:r>
    </w:p>
    <w:p>
      <w:r>
        <w:rPr>
          <w:b/>
        </w:rPr>
        <w:t>Vitgrynig nållav (NT)</w:t>
      </w:r>
      <w:r>
        <w:t xml:space="preserve"> växer nästan uteslutande på bark av gamla, senvuxna granar i skuggiga lägen med hög och jämn luftfuktighet. Den vanligaste naturtypen för arten är kontinuitetsskogar på frisk mark men den finns också i sumpgranskogar. På lång sikt utgör avverkningar av olikåldriga granskogar av naturskogskaraktär ett allvarligt hot mot arten och skogsbruksåtgärder på eller i närheten av växtplatserna bör undvikas. Naturskogsartade, fuktiga granskogar med förekomster av arten signalerar höga biologiska värden och bör bevaras (SLU Artdatabanken, 2024; Nitare &amp; Skogsstyrelsen, 2019).</w:t>
      </w:r>
    </w:p>
    <w:p>
      <w:r>
        <w:rPr>
          <w:b/>
        </w:rPr>
        <w:t xml:space="preserve">Späd brosklav (DD) </w:t>
      </w:r>
      <w:r>
        <w:t xml:space="preserve">förekommer främst i boreala granskogar med lång trädkontinuitet men kan också förekomma på lövträd vid sänkta sjöar, vid vägkanter med kalkdamm i Jämtland samt på sälg och asp i sydbranter. Arten har minskat genom avverkningar av boreal kontinuitetsskog men faktaunderlaget bedöms vara otillräckligt för att avgöra vilken av de olika rödlistningskategorierna som är mest trolig. Späd brosklav är en bra signalart för skogar med höga naturvärden. Särskilt användbar är den i älvnära granskogar där arten indikerar konstant hög luftfuktighet och låg grad av mänsklig påverkan. Späd brosklav är typisk art för </w:t>
      </w:r>
      <w:r>
        <w:rPr>
          <w:i/>
        </w:rPr>
        <w:t>9010 Taiga</w:t>
      </w:r>
      <w:r>
        <w:t xml:space="preserve"> (SLU Artdatabanken, 2026; Nitare &amp; Skogsstyrelsen, 2019).</w:t>
      </w:r>
    </w:p>
    <w:p>
      <w:r>
        <w:rPr>
          <w:b/>
        </w:rPr>
        <w:t>Lappranunkel (§7)</w:t>
      </w:r>
      <w:r>
        <w:t xml:space="preserve"> omfattas av EU:s art- och habitatdirektiv och är fridlyst enligt 7 § artskyddsförordningen vilket innebär att artens livsmiljöer inte får förstöras. Den är knuten till granskogsmiljöer med ytligt liggande markvatten och konstant hög luftfuktighet. Arten är känslig för kalavverkning och markskador men kan kortvarigt står kvar en tid i fuktsvackor efter en avverkning. Lokaler med lappranunkel får inte avverkas. Lappranunkel är typisk art för </w:t>
      </w:r>
      <w:r>
        <w:rPr>
          <w:i/>
        </w:rPr>
        <w:t xml:space="preserve">9010 Taiga, 7160 Källor och källkärr </w:t>
      </w:r>
      <w:r>
        <w:t>och</w:t>
      </w:r>
      <w:r>
        <w:rPr>
          <w:i/>
        </w:rPr>
        <w:t xml:space="preserve"> 9050 Näringsrik granskog</w:t>
      </w:r>
      <w:r>
        <w:t xml:space="preserve"> (Nitare &amp; Skogsstyrelsen, 2019; SLU Artdatabanken, 2024).</w:t>
      </w:r>
    </w:p>
    <w:p>
      <w:r>
        <w:rPr>
          <w:b/>
        </w:rPr>
        <w:t>Plattlummer (§9)</w:t>
      </w:r>
      <w:r>
        <w:t xml:space="preserve"> växer främst i ljusöppna sandtallskogar eller annan gles, torr och brandpräglad hedbarrskog. Den är mest frekvent i olika typer av naturskogar och kontinuitetsskogar och missgynnas markant av slutavverkning och maskinell markberedning. Söder ut i landet förekommer de närstående arterna cypresslummer (EN, §8) och mellanlummer (NT, §9), vilka båda omfattas av EU:s art- och habitatdirektiv. Plattlummer är typisk art för </w:t>
      </w:r>
      <w:r>
        <w:rPr>
          <w:i/>
        </w:rPr>
        <w:t xml:space="preserve">9010 Taiga </w:t>
      </w:r>
      <w:r>
        <w:t>och</w:t>
      </w:r>
      <w:r>
        <w:rPr>
          <w:i/>
        </w:rPr>
        <w:t xml:space="preserve"> 2320 Rissandhedar </w:t>
      </w:r>
      <w:r>
        <w:t>(Nitare &amp; Skogsstyrelsen, 2019; SLU Artdatabanken, 2026).</w:t>
      </w:r>
    </w:p>
    <w:p>
      <w:r>
        <w:rPr>
          <w:b/>
        </w:rPr>
        <w:t>Tibast</w:t>
      </w:r>
      <w:r>
        <w:t xml:space="preserve"> är en kalkgynnad buske som växer på mullrik, frisk eller svagt fuktig mark, exempelvis i gamla kalkgranskogar, lövträdslundar, varma källpåverkade sluttningar och exklusiva biotoper kopplade till vattendrag. Förekomster i gammal skog visar på höga naturvärden och bör alltid noteras i samband med naturvärdesinventeringar. Tibast är typisk art för </w:t>
      </w:r>
      <w:r>
        <w:rPr>
          <w:i/>
        </w:rPr>
        <w:t>9050 Näringsrik granskog</w:t>
      </w:r>
      <w:r>
        <w:t xml:space="preserve"> och värdväxt för de två fjärilsarterna större tibastmal och brun tibastmal (CR) (SLU Artdatabanken, 2024; Nitare &amp; Skogsstyrelsen, 2019).</w:t>
      </w:r>
    </w:p>
    <w:p>
      <w:r>
        <w:rPr>
          <w:b/>
        </w:rPr>
        <w:t xml:space="preserve">Ögonpyrola </w:t>
      </w:r>
      <w:r>
        <w:t xml:space="preserve">är normalt en bra signalart som visar på områden med höga naturvärden och stabila förhållanden, särskilt inom näringsfattiga trakter. Växten är mycket känslig för markskador och försvinner snabbt efter slutavverkning. Den hotas också av skogsgödsling och markavvattning. Ögonpyrola är typisk art för </w:t>
      </w:r>
      <w:r>
        <w:rPr>
          <w:i/>
        </w:rPr>
        <w:t>9010 Taiga</w:t>
      </w:r>
      <w:r>
        <w:t xml:space="preserve"> och</w:t>
      </w:r>
      <w:r>
        <w:rPr>
          <w:i/>
        </w:rPr>
        <w:t xml:space="preserve"> 9070 Trädklädd betesmark</w:t>
      </w:r>
      <w:r>
        <w:t xml:space="preserve"> (Nitare &amp; Skogsstyrelsen, 2019; SLU Artdatabanken, 2024).</w:t>
      </w:r>
    </w:p>
    <w:p>
      <w:r>
        <w:rPr>
          <w:b/>
        </w:rPr>
        <w:t xml:space="preserve">Fjällskära </w:t>
      </w:r>
      <w:r>
        <w:t xml:space="preserve">är typisk art för </w:t>
      </w:r>
      <w:r>
        <w:rPr>
          <w:i/>
        </w:rPr>
        <w:t xml:space="preserve">9040 Fjällbjörkskog, 6530 Lövängar, 6510 Slåtterängar i låglandet </w:t>
      </w:r>
      <w:r>
        <w:t xml:space="preserve">och </w:t>
      </w:r>
      <w:r>
        <w:rPr>
          <w:i/>
        </w:rPr>
        <w:t>7310 Aapamyrar</w:t>
      </w:r>
      <w:r>
        <w:t>. Fjällskära är värdväxt för bl.a. de rödlistade fjärilarna fjällskärefrövecklare (VU) och fjällskäreplattmal (VU)</w:t>
      </w:r>
      <w:r>
        <w:rPr>
          <w:i/>
        </w:rPr>
        <w:t xml:space="preserve"> </w:t>
      </w:r>
      <w:r>
        <w:t>(SLU Artdatabanken, 2026).</w:t>
      </w:r>
    </w:p>
    <w:p>
      <w:r>
        <w:rPr>
          <w:b/>
        </w:rPr>
        <w:t xml:space="preserve">Kattfot </w:t>
      </w:r>
      <w:r>
        <w:t xml:space="preserve">är typisk art för </w:t>
      </w:r>
      <w:r>
        <w:rPr>
          <w:i/>
        </w:rPr>
        <w:t>9060 Åsbarrskog, 9070 Trädklädd betesmark, 6530 Lövängar, 6170 Alpina kalkgräsmarker, 6230 Stagg-gräsmarker, 6520 Höglänta slåtterängar, 1610 Åsöar i Östersjön, 4030 Torra hedar, 5130 Enbuskmarker, 6270 Silikatgräsmarker, 6510 Slåtterängar i låglandet</w:t>
      </w:r>
      <w:r>
        <w:t xml:space="preserve"> och </w:t>
      </w:r>
      <w:r>
        <w:rPr>
          <w:i/>
        </w:rPr>
        <w:t>8230 Hällmarkstorräng</w:t>
      </w:r>
      <w:r>
        <w:t>. Kattfot är värdväxt för bland annat de rödlistade fjärilarna kattfotsfjädermott (VU), kattfotssmåstävmal (VU), kattfotssäckmal (VU) och leverplattmal (VU) (SLU Artdatabanken, 2026).</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fläckporing (VU, T), gräddporing (VU, T), norna (VU, T, §7), blå taggsvamp (NT, T), dropptaggsvamp (NT, T), dvärgbägarlav (NT, T), gammelgransskål (NT, T), knottrig blåslav (NT, T), kolflarnlav (NT, T), reliktbock (NT, T), stjärntagging (NT, T), talltagel (NT, T), tretåig hackspett (NT, T, §4), ullticka (NT, T), vedskivlav (NT, T), vedtrappmossa (NT, T), violmussling (NT, T), späd brosklav (DD, T), lappranunkel (S, T, §7), plattlummer (S, T, §9), tibast (S, T), ögonpyrola (S, T), fjällskära (T), kattfot (T) och tjäder (T, §4).</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w:t>
        <w:br/>
        <w:t>Fridlysta och rödlistade arter</w:t>
      </w:r>
    </w:p>
    <w:p>
      <w:pPr>
        <w:pStyle w:val="Heading1"/>
      </w:pPr>
      <w:r>
        <w:t>Kritporing – ekologi samt krav på livsmiljön</w:t>
      </w:r>
    </w:p>
    <w:p>
      <w:r>
        <w:t xml:space="preserve">Den akut hotade vedsvampen kritporing </w:t>
      </w:r>
      <w:r>
        <w:rPr>
          <w:i/>
        </w:rPr>
        <w:t>Resinoporia crassa</w:t>
      </w:r>
      <w:r>
        <w:t xml:space="preserve"> (CR) växer bara på mycket gammal, hård grånad tallved efter träd som stått döda, barklösa och exponerade under lång tid innan de fallit (Nitare 2019). Kritporing är en av de allra främsta naturvärdesindikatorer för tallnaturskog med långvarig kontinuitet av gamla tallar samt kontinuitet på död tallved av en speciell naturvärdeskvalité som tar mycket lång tid att bildas, troligen mer än 1 000 år (Nitare &amp; Skogsstyrelsen, 2019).</w:t>
      </w:r>
    </w:p>
    <w:p>
      <w:r>
        <w:t>Den totala populationen i landet bedöms ha minskat och minskar på grund av minskande tillgång på grova och gärna brända stammar av tall, som följd av mindre arealer tidigare icke kalavverkad skog och få skogsbränder. Avverkning och markberedning förstör merparten av kvarlämnad grov död ved och spolierar oftast livsmiljön för arten (SLU Artdatabanken 2021). I rödlistan klassas en art som akut hotad när den löper extremt stor risk att dö ut i vilt tillstånd. För att arten ska kunna överleva på lång sikt krävs stora landskap med intakta tallskogar som kan nybilda och kontinuerligt tillgodose artens behov av flera hundra år gamla substrat.</w:t>
      </w:r>
    </w:p>
    <w:p>
      <w:pPr>
        <w:pStyle w:val="Heading2"/>
      </w:pPr>
      <w:r>
        <w:t>Referenser – kritporing</w:t>
      </w:r>
    </w:p>
    <w:p>
      <w:r>
        <w:t xml:space="preserve">Nitare, J., 2019. </w:t>
      </w:r>
      <w:r>
        <w:rPr>
          <w:i/>
        </w:rPr>
        <w:t xml:space="preserve">Skyddsvärd skog – Naturvårdsarter och andra kriterier för naturvärdesbedömning. </w:t>
      </w:r>
      <w:r>
        <w:t>Skogsstyrelsen.</w:t>
      </w:r>
    </w:p>
    <w:p>
      <w:r>
        <w:t xml:space="preserve">SLU Artdatabanken, 2021.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Lappranunkel – ekologi samt krav på livsmiljön</w:t>
      </w:r>
    </w:p>
    <w:p>
      <w:r>
        <w:t>Lappranunkel (§7) omfattas av EU:s art- och habitatdirektiv och fridlyst enligt 7 § artskyddsförordningen vilket innebär att artens livsmiljöer inte får förstöras.</w:t>
      </w:r>
    </w:p>
    <w:p>
      <w:pPr>
        <w:pStyle w:val="ListBullet"/>
      </w:pPr>
      <w:r>
        <w:t xml:space="preserve">7 § </w:t>
      </w:r>
      <w:r>
        <w:rPr>
          <w:i/>
        </w:rPr>
        <w:t>I fråga om sådana växtarter som i bilaga 1 till denna förordning har markerats med N är det förbjudet att avsiktligt plocka, samla in, skära av, dra upp med rötterna eller förstöra växter i deras naturliga utbredningsområde i naturen. Förbudet gäller alla stadier i växternas biologiska cykel.</w:t>
      </w:r>
    </w:p>
    <w:p>
      <w:r>
        <w:t xml:space="preserve">Lappranunkel är knuten till granskogsmiljöer med ytligt liggande markvatten och konstant hög luftfuktighet. Arten är känslig för kalavverkning och markskador men kan kortvarigt står kvar en tid i fuktsvackor efter en avverkning. Dikade lokaler bör restaureras hydrologiskt. Lokaler med lappranunkel får inte avverkas. Lappranunkel är typisk art för </w:t>
      </w:r>
      <w:r>
        <w:rPr>
          <w:i/>
        </w:rPr>
        <w:t xml:space="preserve">9010 Taiga, 7160 Källor och källkärr </w:t>
      </w:r>
      <w:r>
        <w:t>och</w:t>
      </w:r>
      <w:r>
        <w:rPr>
          <w:i/>
        </w:rPr>
        <w:t xml:space="preserve"> 9050 Näringsrik granskog</w:t>
      </w:r>
      <w:r>
        <w:t xml:space="preserve"> (Nitare &amp; Skogsstyrelsen, 2019; SLU Artdatabanken, 2024).</w:t>
      </w:r>
    </w:p>
    <w:p>
      <w:pPr>
        <w:pStyle w:val="Heading2"/>
      </w:pPr>
      <w:r>
        <w:t>Referenser – lappranunkel</w:t>
      </w:r>
    </w:p>
    <w:p>
      <w:r>
        <w:t xml:space="preserve">Nitare, J. &amp; Skogsstyrelsen, 2019. </w:t>
      </w:r>
      <w:r>
        <w:rPr>
          <w:i/>
        </w:rPr>
        <w:t xml:space="preserve">Skyddsvärd skog – Naturvårdsarter och andra kriterier för naturvärdesbedömning. </w:t>
      </w:r>
      <w:r>
        <w:t>Skogsstyrelsen.</w:t>
      </w:r>
    </w:p>
    <w:p>
      <w:r>
        <w:t xml:space="preserve">SLU Artdatabanken, 2024. </w:t>
      </w:r>
      <w:r>
        <w:rPr>
          <w:i/>
        </w:rPr>
        <w:t xml:space="preserve">Artfaktablad. Naturvård – artfakta. </w:t>
      </w:r>
      <w:r>
        <w:t>SLU Artdatabanken, Uppsala</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