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28063-2024 i Jokkmokks kommun</w:t>
      </w:r>
    </w:p>
    <w:p>
      <w:r>
        <w:t>Denna tillsynsbegäran behandlar höga naturvärden i avverkningsanmälan A 28063-2024 i Jokkmokks kommun som inkom 2024-07-03 och omfattar 51,8 ha.</w:t>
      </w:r>
    </w:p>
    <w:p>
      <w:pPr>
        <w:pStyle w:val="Caption"/>
      </w:pPr>
      <w:r>
        <w:drawing>
          <wp:inline xmlns:a="http://schemas.openxmlformats.org/drawingml/2006/main" xmlns:pic="http://schemas.openxmlformats.org/drawingml/2006/picture">
            <wp:extent cx="5486400" cy="5054652"/>
            <wp:docPr id="1" name="Picture 1"/>
            <wp:cNvGraphicFramePr>
              <a:graphicFrameLocks noChangeAspect="1"/>
            </wp:cNvGraphicFramePr>
            <a:graphic>
              <a:graphicData uri="http://schemas.openxmlformats.org/drawingml/2006/picture">
                <pic:pic>
                  <pic:nvPicPr>
                    <pic:cNvPr id="0" name="A 28063-2024 karta.png"/>
                    <pic:cNvPicPr/>
                  </pic:nvPicPr>
                  <pic:blipFill>
                    <a:blip r:embed="rId16"/>
                    <a:stretch>
                      <a:fillRect/>
                    </a:stretch>
                  </pic:blipFill>
                  <pic:spPr>
                    <a:xfrm>
                      <a:off x="0" y="0"/>
                      <a:ext cx="5486400" cy="5054652"/>
                    </a:xfrm>
                    <a:prstGeom prst="rect"/>
                  </pic:spPr>
                </pic:pic>
              </a:graphicData>
            </a:graphic>
          </wp:inline>
        </w:drawing>
      </w:r>
    </w:p>
    <w:p>
      <w:pPr>
        <w:pStyle w:val="Caption"/>
        <w:spacing w:after="240"/>
      </w:pPr>
      <w:r>
        <w:t>Figur 1. Fyndplatser för naturvårdsarter i och inom 18 meter från avverkningsanmälan. Markörer utan svart kant är placerade på fyndplatsen. Markörer med svart kant är placerade vid sidan av fyndplatsen och har ett svart streck som visar fyndplatsens exakta position. Kartans mittpunktskoordinat är N 7347392, E 724977 i SWEREF 99 TM.</w:t>
      </w:r>
    </w:p>
    <w:p>
      <w:r>
        <w:t>I och inom 18 meter från avverkningsanmälan finns fynd av 19 naturvårdsarter, varav 11 är rödlistade, 6 är fridlysta, 16 är typiska (T) och 7 är signalarter (S): doftticka (VU, T, §8), garnlav (VU, T), gammelgransskål (NT, T), harticka (NT, T), lavskrika (NT, T, §4), skrovellav (NT, T), talltita (NT, §4), tretåig hackspett (NT, T, §4), ullticka (NT, T), vedtrappmossa (NT, T), vitgrynig nållav (NT), blodticka (S, T), luddlav (S, T), skinnlav (S, T), spindelblomster (S, T, §8), strutbräken (S, T), stuplav (S, T), ögonpyrola (S, T)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 xml:space="preserve">Blodticka </w:t>
      </w:r>
      <w:r>
        <w:t xml:space="preserve">är i norra Sverige främst knuten till grova granlågor i urskogsartad barrskog, men förekommer ibland även på klenare granar i anslutning till bäckar och sumpskogar. Den är en bra indikator på granskogar med höga naturvärden och oftast förekommer den tillsammans med ett stort antal ovanliga och rödlistade arter. I södra Sverige växer den framför allt på tall och har då ett lägre signalvärde. Blodticka är typisk art för </w:t>
      </w:r>
      <w:r>
        <w:rPr>
          <w:i/>
        </w:rPr>
        <w:t>9030 Landhöjningsskog</w:t>
      </w:r>
      <w:r>
        <w:t xml:space="preserve"> (SLU Artdatabanken, 2025;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 xml:space="preserve">Strutbräken </w:t>
      </w:r>
      <w:r>
        <w:t xml:space="preserve">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dikning.Strutbräken är typisk art för </w:t>
      </w:r>
      <w:r>
        <w:rPr>
          <w:i/>
        </w:rPr>
        <w:t xml:space="preserve">9050 Näringsrik granskog, 9080 Lövsumpskog, 9750 Svämlövskog, 9760 Svämädellövskog </w:t>
      </w:r>
      <w:r>
        <w:t>och</w:t>
      </w:r>
      <w:r>
        <w:rPr>
          <w:i/>
        </w:rPr>
        <w:t xml:space="preserve"> 6430 Högörtängar</w:t>
      </w:r>
      <w:r>
        <w:t xml:space="preserve"> (Nitare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doftticka (VU, T, §8), garnlav (VU, T), gammelgransskål (NT, T), harticka (NT, T), lavskrika (NT, T, §4), skrovellav (NT, T), tretåig hackspett (NT, T, §4), ullticka (NT, T), vedtrappmossa (NT, T), blodticka (S, T), luddlav (S, T), skinnlav (S, T), spindelblomster (S, T, §8), strutbräken (S, T), stuplav (S, T) och ögonpyrola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