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26305-2025 i Överkalix kommun</w:t>
      </w:r>
    </w:p>
    <w:p>
      <w:r>
        <w:t>Denna tillsynsbegäran behandlar höga naturvärden i avverkningsanmälan A 26305-2025 i Överkalix kommun som inkom 2025-05-28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88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88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7392036, E 825387 i SWEREF 99 TM.</w:t>
      </w:r>
    </w:p>
    <w:p>
      <w:r>
        <w:t>I avverkningsanmälan finns fynd av 1 naturvårdsarter, varav 1 är typisk (T) och 1 är signalart (S): luddlav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Luddlav</w:t>
      </w:r>
      <w:r>
        <w:t xml:space="preserve"> signalerar lång skoglig kontinuitet med ett stabilt lokal- och mikroklimat med hög och jämn fuktighet. Luddlav är typisk art för </w:t>
      </w:r>
      <w:r>
        <w:rPr>
          <w:i/>
        </w:rPr>
        <w:t>9010 Taiga,</w:t>
      </w:r>
      <w:r>
        <w:t xml:space="preserve"> </w:t>
      </w:r>
      <w:r>
        <w:rPr>
          <w:i/>
        </w:rPr>
        <w:t xml:space="preserve">9020 Nordlig ädellövskog, 9070 Trädklädd betesmark, 9110 Näringsfattig bokskog,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