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36383-2024 i Överkalix kommun</w:t>
      </w:r>
    </w:p>
    <w:p>
      <w:r>
        <w:t>Detta dokument behandlar höga naturvärden i avverkningsanmälan A 36383-2024 i Överkalix kommun. Denna avverkningsanmälan inkom 2024-08-30 och omfattar 42,1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knottrig blåslav (NT), kolflarnlav (NT), orange taggsvamp (NT), spillkråka (NT, §4), tretåig hackspett (NT, §4), vedflamlav (NT), spindelblomster (S, §8), vedticka (S), orre (§4),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383-2024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7376889, E 817353 i SWEREF 99 TM.</w:t>
      </w:r>
    </w:p>
    <w:p>
      <w:pPr>
        <w:pStyle w:val="Heading1"/>
      </w:pPr>
      <w:r>
        <w:t>Fridlysta arter</w:t>
      </w:r>
    </w:p>
    <w:p>
      <w:r>
        <w:t>Följande fridlysta arter har sina livsmiljöer och växtplatser i den avverkningsanmälda skogen: spillkråka (NT, §4), tretåig hackspett (NT, §4), spindelblomster (S, §8), orre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