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som inkom 2022-07-13 och omfattar 3,3 ha.</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fridlysta arter som gjorts i det avverkningsanmälda området. I BILAGA 1 finns artfakta om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