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43065-2025 i Överkalix kommun</w:t>
      </w:r>
    </w:p>
    <w:p>
      <w:r>
        <w:t>Detta klagomål behandlar höga naturvärden i avverkningsanmälan A 43065-2025 i Överkalix kommun som inkom 2025-09-09 och omfattar 8,9 ha.</w:t>
      </w:r>
    </w:p>
    <w:p>
      <w:pPr>
        <w:pStyle w:val="Caption"/>
      </w:pPr>
      <w:r>
        <w:drawing>
          <wp:inline xmlns:a="http://schemas.openxmlformats.org/drawingml/2006/main" xmlns:pic="http://schemas.openxmlformats.org/drawingml/2006/picture">
            <wp:extent cx="5486400" cy="2330306"/>
            <wp:docPr id="1" name="Picture 1"/>
            <wp:cNvGraphicFramePr>
              <a:graphicFrameLocks noChangeAspect="1"/>
            </wp:cNvGraphicFramePr>
            <a:graphic>
              <a:graphicData uri="http://schemas.openxmlformats.org/drawingml/2006/picture">
                <pic:pic>
                  <pic:nvPicPr>
                    <pic:cNvPr id="0" name="A 43065-2025 karta.png"/>
                    <pic:cNvPicPr/>
                  </pic:nvPicPr>
                  <pic:blipFill>
                    <a:blip r:embed="rId16"/>
                    <a:stretch>
                      <a:fillRect/>
                    </a:stretch>
                  </pic:blipFill>
                  <pic:spPr>
                    <a:xfrm>
                      <a:off x="0" y="0"/>
                      <a:ext cx="5486400" cy="233030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7375444, E 852369 i SWEREF 99 TM.</w:t>
      </w:r>
    </w:p>
    <w:p>
      <w:r>
        <w:t>I och inom 25 meter från avverkningsanmälan finns fynd av 16 naturvårdsarter, varav 13 är rödlistade, 4 är fridlysta, 10 är typiska (T) och 2 är signalarter (S): garnlav (VU, T), smalfotad taggsvamp (VU), dropptaggsvamp (NT, T), motaggsvamp (NT, T), nordtagging (NT), orange taggsvamp (NT, T), skarp dropptaggsvamp (NT), svartvit taggsvamp (NT), tallriska (NT), talltagel (NT, T), talltita (NT, §4), tretåig hackspett (NT, T, §4), vedskivlav (NT, T), nästlav (S, T), plattlummer (S,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