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33912-2026 i Kalix kommun</w:t>
      </w:r>
    </w:p>
    <w:p>
      <w:r>
        <w:t>Denna tillsynsbegäran behandlar höga naturvärden i avverkningsanmälan A 33912-2026 i Kalix kommun som inkom 2026-08-18 och omfattar 22,9 ha.</w:t>
      </w:r>
    </w:p>
    <w:p>
      <w:pPr>
        <w:pStyle w:val="Caption"/>
      </w:pPr>
      <w:r>
        <w:drawing>
          <wp:inline xmlns:a="http://schemas.openxmlformats.org/drawingml/2006/main" xmlns:pic="http://schemas.openxmlformats.org/drawingml/2006/picture">
            <wp:extent cx="5387641" cy="5724000"/>
            <wp:docPr id="1" name="Picture 1"/>
            <wp:cNvGraphicFramePr>
              <a:graphicFrameLocks noChangeAspect="1"/>
            </wp:cNvGraphicFramePr>
            <a:graphic>
              <a:graphicData uri="http://schemas.openxmlformats.org/drawingml/2006/picture">
                <pic:pic>
                  <pic:nvPicPr>
                    <pic:cNvPr id="0" name="A 33912-2026 karta.png"/>
                    <pic:cNvPicPr/>
                  </pic:nvPicPr>
                  <pic:blipFill>
                    <a:blip r:embed="rId16"/>
                    <a:stretch>
                      <a:fillRect/>
                    </a:stretch>
                  </pic:blipFill>
                  <pic:spPr>
                    <a:xfrm>
                      <a:off x="0" y="0"/>
                      <a:ext cx="53876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7333473, E 845579 i SWEREF 99 TM.</w:t>
      </w:r>
    </w:p>
    <w:p>
      <w:r>
        <w:t>I avverkningsanmälan finns fynd av 1 naturvårdsarter, varav 1 är typisk (T): svarta vinbär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Svarta vinbär</w:t>
      </w:r>
      <w:r>
        <w:t xml:space="preserve"> är typisk art för </w:t>
      </w:r>
      <w:r>
        <w:rPr>
          <w:i/>
        </w:rPr>
        <w:t xml:space="preserve">9050 Näringsrik granskog </w:t>
      </w:r>
      <w:r>
        <w:t>och</w:t>
      </w:r>
      <w:r>
        <w:rPr>
          <w:i/>
        </w:rPr>
        <w:t xml:space="preserve"> 6430 Högörtängar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