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293-2023 i Kalix kommun</w:t>
      </w:r>
    </w:p>
    <w:p>
      <w:r>
        <w:t>Denna tillsynsbegäran behandlar höga naturvärden i samrådsanmälan S 293-2023 i Kalix kommun som inkom 2023-01-30 och omfattar 290,0 ha.</w:t>
      </w:r>
    </w:p>
    <w:p>
      <w:pPr>
        <w:pStyle w:val="Caption"/>
      </w:pPr>
      <w:r>
        <w:drawing>
          <wp:inline xmlns:a="http://schemas.openxmlformats.org/drawingml/2006/main" xmlns:pic="http://schemas.openxmlformats.org/drawingml/2006/picture">
            <wp:extent cx="4801472" cy="5724000"/>
            <wp:docPr id="1" name="Picture 1"/>
            <wp:cNvGraphicFramePr>
              <a:graphicFrameLocks noChangeAspect="1"/>
            </wp:cNvGraphicFramePr>
            <a:graphic>
              <a:graphicData uri="http://schemas.openxmlformats.org/drawingml/2006/picture">
                <pic:pic>
                  <pic:nvPicPr>
                    <pic:cNvPr id="0" name="S 293-2023 karta.png"/>
                    <pic:cNvPicPr/>
                  </pic:nvPicPr>
                  <pic:blipFill>
                    <a:blip r:embed="rId16"/>
                    <a:stretch>
                      <a:fillRect/>
                    </a:stretch>
                  </pic:blipFill>
                  <pic:spPr>
                    <a:xfrm>
                      <a:off x="0" y="0"/>
                      <a:ext cx="48014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7342154, E 839801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