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64290-2021 i Kalix kommun</w:t>
      </w:r>
    </w:p>
    <w:p>
      <w:r>
        <w:t>Detta dokument behandlar höga naturvärden i avverkningsanmälan A 64290-2021 i Kalix kommun. Denna avverkningsanmälan inkom 2021-11-10 och omfattar 52,9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spillkråka (NT, §4), strandviva (§7) och Dactylorhiza incarnata subsp. incarnata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4290-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7316943, E 890825 i SWEREF 99 TM.</w:t>
      </w:r>
    </w:p>
    <w:p>
      <w:pPr>
        <w:pStyle w:val="Heading1"/>
      </w:pPr>
      <w:r>
        <w:t>Fridlysta arter</w:t>
      </w:r>
    </w:p>
    <w:p>
      <w:r>
        <w:t>Följande fridlysta arter har sina livsmiljöer och växtplatser i den avverkningsanmälda skogen: spillkråka (NT, §4), strandviva (§7) och Dactylorhiza incarnata subsp. incarnata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