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956-2026 i Kalix kommun</w:t>
      </w:r>
    </w:p>
    <w:p>
      <w:r>
        <w:t>Detta klagomål behandlar höga naturvärden i avverkningsanmälan A 956-2026 i Kalix kommun som inkom 2026-01-08 och omfattar 1,8 ha.</w:t>
      </w:r>
    </w:p>
    <w:p>
      <w:pPr>
        <w:pStyle w:val="Caption"/>
      </w:pPr>
      <w:r>
        <w:drawing>
          <wp:inline xmlns:a="http://schemas.openxmlformats.org/drawingml/2006/main" xmlns:pic="http://schemas.openxmlformats.org/drawingml/2006/picture">
            <wp:extent cx="5486400" cy="3346515"/>
            <wp:docPr id="1" name="Picture 1"/>
            <wp:cNvGraphicFramePr>
              <a:graphicFrameLocks noChangeAspect="1"/>
            </wp:cNvGraphicFramePr>
            <a:graphic>
              <a:graphicData uri="http://schemas.openxmlformats.org/drawingml/2006/picture">
                <pic:pic>
                  <pic:nvPicPr>
                    <pic:cNvPr id="0" name="A 956-2026 karta.png"/>
                    <pic:cNvPicPr/>
                  </pic:nvPicPr>
                  <pic:blipFill>
                    <a:blip r:embed="rId16"/>
                    <a:stretch>
                      <a:fillRect/>
                    </a:stretch>
                  </pic:blipFill>
                  <pic:spPr>
                    <a:xfrm>
                      <a:off x="0" y="0"/>
                      <a:ext cx="5486400" cy="334651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7311660, E 870184 i SWEREF 99 TM.</w:t>
      </w:r>
    </w:p>
    <w:p>
      <w:r>
        <w:t>I och inom 12 meter från avverkningsanmälan finns fynd av 23 naturvårdsarter, varav 8 är rödlistade, 10 är fridlysta, 12 är typiska (T) och 7 är signalarter (S): garnlav (VU, T), knottblomster (VU, §8), knärot (VU, T, §8), sprickporing (VU), blanksvart spiklav (NT), fjällig taggsvamp s.str. (NT), kötticka (NT), ullticka (NT, T), bronshjon (S, T), gräsull (S), plattlummer (S, T, §9), stuplav (S, T), trådticka (S, T), vedticka (S, T), ögonpyrola (S, T), järpe (T, §4), kransmossa (T), spillkråka (T, §4), orre (§4), fläcknycklar (§8), nattviol (§8), vanliga ängsnycklar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Knottblomster (VU, §8)</w:t>
      </w:r>
      <w:r>
        <w:t xml:space="preserve"> är knuten till kalkpåverkade biotoper och kan påträffas i glesa till halvslutna skogskärr med al, glasbjörk och ibland gran, gungflyn i rikkärr och kantpartier av tuviga starrkärr med bunkestarr och trindstarr. Den dominerande följearten är vattenklöver. Andra typiska följeväxter är kråkklöver, sjöfräken, späd skorpionmossa, stor skedmossa och spjutmossa. Ändrad markanvändning är det största hotet mot arten och det är viktigt att alla kända lokaler undantas från skadliga ingrepp som dräneringsåtgärder och skogsbruk i största allmänhet. Större lokaler eller grupper av lokaler bör genomgående skyddas genom naturreservat eller motsvarande. Eftersom arten är rörlig och naturligt växlar i antal är det nödvändigt att bibehålla alla tänkbara växtplatser för arten i dess kärnområden. Knottblomster är fridlyst enligt 8 § artskyddsförordningen och rödlistad som nära hotad (NT) på den europeiska rödlistan vilket medför ett internationellt ansvar för arten (SLU Artdatabanken, 2024; IUCN, 2011).</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25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2969443"/>
            <wp:docPr id="2" name="Picture 2"/>
            <wp:cNvGraphicFramePr>
              <a:graphicFrameLocks noChangeAspect="1"/>
            </wp:cNvGraphicFramePr>
            <a:graphic>
              <a:graphicData uri="http://schemas.openxmlformats.org/drawingml/2006/picture">
                <pic:pic>
                  <pic:nvPicPr>
                    <pic:cNvPr id="0" name="A 956-2026 karta knärot.png"/>
                    <pic:cNvPicPr/>
                  </pic:nvPicPr>
                  <pic:blipFill>
                    <a:blip r:embed="rId17"/>
                    <a:stretch>
                      <a:fillRect/>
                    </a:stretch>
                  </pic:blipFill>
                  <pic:spPr>
                    <a:xfrm>
                      <a:off x="0" y="0"/>
                      <a:ext cx="5486400" cy="29694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7311660, E 870184 i SWEREF 99 TM.</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