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20584-2026 i Kalix kommun</w:t>
      </w:r>
    </w:p>
    <w:p>
      <w:r>
        <w:t>Detta klagomål behandlar höga naturvärden i avverkningsanmälan A 20584-2026 i Kalix kommun som inkom 2026-04-28 och omfattar 8,6 ha.</w:t>
      </w:r>
    </w:p>
    <w:p>
      <w:pPr>
        <w:pStyle w:val="Caption"/>
      </w:pPr>
      <w:r>
        <w:drawing>
          <wp:inline xmlns:a="http://schemas.openxmlformats.org/drawingml/2006/main" xmlns:pic="http://schemas.openxmlformats.org/drawingml/2006/picture">
            <wp:extent cx="5486400" cy="5439667"/>
            <wp:docPr id="1" name="Picture 1"/>
            <wp:cNvGraphicFramePr>
              <a:graphicFrameLocks noChangeAspect="1"/>
            </wp:cNvGraphicFramePr>
            <a:graphic>
              <a:graphicData uri="http://schemas.openxmlformats.org/drawingml/2006/picture">
                <pic:pic>
                  <pic:nvPicPr>
                    <pic:cNvPr id="0" name="A 20584-2026 karta.png"/>
                    <pic:cNvPicPr/>
                  </pic:nvPicPr>
                  <pic:blipFill>
                    <a:blip r:embed="rId16"/>
                    <a:stretch>
                      <a:fillRect/>
                    </a:stretch>
                  </pic:blipFill>
                  <pic:spPr>
                    <a:xfrm>
                      <a:off x="0" y="0"/>
                      <a:ext cx="5486400" cy="5439667"/>
                    </a:xfrm>
                    <a:prstGeom prst="rect"/>
                  </pic:spPr>
                </pic:pic>
              </a:graphicData>
            </a:graphic>
          </wp:inline>
        </w:drawing>
      </w:r>
    </w:p>
    <w:p>
      <w:pPr>
        <w:pStyle w:val="Caption"/>
        <w:spacing w:after="240"/>
      </w:pPr>
      <w:r>
        <w:t>Figur 1. Fyndplatser för naturvårdsarter inom 21 meter från avverkningsanmälan. Markörer utan svart kant är placerade på fyndplatsen. Markörer med svart kant är placerade vid sidan av fyndplatsen och har ett svart streck som visar fyndplatsens exakta position. Kartans mittpunktskoordinat är N 7347262, E 868669 i SWEREF 99 TM.</w:t>
      </w:r>
    </w:p>
    <w:p>
      <w:r>
        <w:t>Inom 21 meter från avverkningsanmälan finns fynd av 1 naturvårdsarter, varav 1 är typisk (T) och 1 är signalart (S): stuplav (S,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Stuplav</w:t>
      </w:r>
      <w:r>
        <w:t xml:space="preserve"> är en mycket bra signalart i hela sitt utbredningsområde och förekommer nästan enbart i skogsmiljöer med höga naturvärden. Den indikerar långvarig förekomst av gamla lövträd och miljöer med konstant hög luftfuktighet. I skogar med suboceaniskt klimat finns det en mycket sällsynt parasit, njurlavsknapp </w:t>
      </w:r>
      <w:r>
        <w:rPr>
          <w:i/>
        </w:rPr>
        <w:t>Pletocarpon nephromeum</w:t>
      </w:r>
      <w:r>
        <w:t xml:space="preserve"> (EN), som växer på stuplav. Ytterligare tre sällsynta lavparasiter, </w:t>
      </w:r>
      <w:r>
        <w:rPr>
          <w:i/>
        </w:rPr>
        <w:t>Protounguicularia nephromatis</w:t>
      </w:r>
      <w:r>
        <w:t xml:space="preserve"> (VU), </w:t>
      </w:r>
      <w:r>
        <w:rPr>
          <w:i/>
        </w:rPr>
        <w:t>Refractohilum galligenum</w:t>
      </w:r>
      <w:r>
        <w:t xml:space="preserve"> (NT) och </w:t>
      </w:r>
      <w:r>
        <w:rPr>
          <w:i/>
        </w:rPr>
        <w:t>Roselliniella nephromatis</w:t>
      </w:r>
      <w:r>
        <w:t xml:space="preserve"> (DD), kan också påträffas på stuplav. Stuplav är typisk art för </w:t>
      </w:r>
      <w:r>
        <w:rPr>
          <w:i/>
        </w:rPr>
        <w:t>9010 Taiga</w:t>
      </w:r>
      <w:r>
        <w:t xml:space="preserve"> (SLU Artdatabanken, 2026;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2026-10-26</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