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1991-2025 i Övertorneå kommun</w:t>
      </w:r>
    </w:p>
    <w:p>
      <w:r>
        <w:t>Detta klagomål behandlar höga naturvärden i samrådsanmälan S 1991-2025 i Övertorneå kommun som inkom 2025-06-25 och omfattar 24,6 ha.</w:t>
      </w:r>
    </w:p>
    <w:p>
      <w:pPr>
        <w:pStyle w:val="Caption"/>
      </w:pPr>
      <w:r>
        <w:drawing>
          <wp:inline xmlns:a="http://schemas.openxmlformats.org/drawingml/2006/main" xmlns:pic="http://schemas.openxmlformats.org/drawingml/2006/picture">
            <wp:extent cx="5283390" cy="5724000"/>
            <wp:docPr id="1" name="Picture 1"/>
            <wp:cNvGraphicFramePr>
              <a:graphicFrameLocks noChangeAspect="1"/>
            </wp:cNvGraphicFramePr>
            <a:graphic>
              <a:graphicData uri="http://schemas.openxmlformats.org/drawingml/2006/picture">
                <pic:pic>
                  <pic:nvPicPr>
                    <pic:cNvPr id="0" name="S 1991-2025 karta.png"/>
                    <pic:cNvPicPr/>
                  </pic:nvPicPr>
                  <pic:blipFill>
                    <a:blip r:embed="rId16"/>
                    <a:stretch>
                      <a:fillRect/>
                    </a:stretch>
                  </pic:blipFill>
                  <pic:spPr>
                    <a:xfrm>
                      <a:off x="0" y="0"/>
                      <a:ext cx="5283390" cy="5724000"/>
                    </a:xfrm>
                    <a:prstGeom prst="rect"/>
                  </pic:spPr>
                </pic:pic>
              </a:graphicData>
            </a:graphic>
          </wp:inline>
        </w:drawing>
      </w:r>
    </w:p>
    <w:p>
      <w:pPr>
        <w:pStyle w:val="Caption"/>
        <w:spacing w:after="240"/>
      </w:pPr>
      <w:r>
        <w:t>Figur 1. Fyndplatser för naturvårdsarter i och inom 23 meter från samrådsanmälan. Markörer utan svart kant är placerade på fyndplatsen. Markörer med svart kant är placerade vid sidan av fyndplatsen och har ett svart streck som visar fyndplatsens exakta position. Kartans mittpunktskoordinat är N 7437952, E 870307 i SWEREF 99 TM.</w:t>
      </w:r>
    </w:p>
    <w:p>
      <w:r>
        <w:t>I och inom 23 meter från samrådsanmälan finns fynd av 9 naturvårdsarter, varav 4 är rödlistade, 6 är fridlysta, 8 är typiska (T) och 1 är signalart (S): garnlav (VU, T), koralltaggsvamp (NT, T), lunglav (NT, T), tretåig hackspett (NT, T, §4), plattlummer (S, T, §9), järpe (T, §4), spillkråka (T, §4), tjäder (T, §4) och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Koralltaggsvamp (NT)</w:t>
      </w:r>
      <w:r>
        <w:t xml:space="preserve"> är i hela landet en mycket bra signalart som nästan enbart påträffas i skogsområden med höga naturvärden. Arten hotas av brist på död ved. Ingrepp som innebär att lågor och döda eller skadade träd tas bort missgynnar arten. En slutavverkning, skoglig gallring eller annat uttag av virke på växtplatsen som ger ett förändrat lokalklimat innebär ett direkt hot liksom överföring av lövskog till barrskog. Koralltaggsvamp är typisk art för </w:t>
      </w:r>
      <w:r>
        <w:rPr>
          <w:i/>
        </w:rPr>
        <w:t>9010 Taiga, 9050 Näringsrik granskog</w:t>
      </w:r>
      <w:r>
        <w:t xml:space="preserve"> och</w:t>
      </w:r>
      <w:r>
        <w:rPr>
          <w:i/>
        </w:rPr>
        <w:t xml:space="preserve"> 9030 Landhöjningsskog</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9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2026-10-20</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