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12519-2024 i Övertorneå kommun</w:t>
      </w:r>
    </w:p>
    <w:p>
      <w:r>
        <w:t>Detta dokument behandlar höga naturvärden i avverkningsanmälan A 12519-2024 i Övertorneå kommun. Denna avverkningsanmälan inkom 2024-03-28 00:00:00 och omfattar 8,1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15 naturvårdsarter hittats: knärot (VU, §8), dvärgbägarlav (NT), garnlav (NT), granticka (NT), nordtagging (NT), spillkråka (NT, §4), talltita (NT, §4), tretåig hackspett (NT, §4), violmussling (NT), grönpyrola (S), norrlandslav (S), plattlummer (S, §9), skinnlav (S), spindelblomster (S, §8) och stuplav (S).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07018"/>
            <wp:docPr id="1" name="Picture 1"/>
            <wp:cNvGraphicFramePr>
              <a:graphicFrameLocks noChangeAspect="1"/>
            </wp:cNvGraphicFramePr>
            <a:graphic>
              <a:graphicData uri="http://schemas.openxmlformats.org/drawingml/2006/picture">
                <pic:pic>
                  <pic:nvPicPr>
                    <pic:cNvPr id="0" name="A 12519-2024 karta.png"/>
                    <pic:cNvPicPr/>
                  </pic:nvPicPr>
                  <pic:blipFill>
                    <a:blip r:embed="rId16"/>
                    <a:stretch>
                      <a:fillRect/>
                    </a:stretch>
                  </pic:blipFill>
                  <pic:spPr>
                    <a:xfrm>
                      <a:off x="0" y="0"/>
                      <a:ext cx="5486400" cy="44070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7405334, E 878250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 </w:t>
      </w:r>
      <w:r>
        <w:t xml:space="preserve">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Stuplav är typisk art för </w:t>
      </w:r>
      <w:r>
        <w:rPr>
          <w:i/>
        </w:rPr>
        <w:t>9010 Taiga</w:t>
      </w:r>
      <w:r>
        <w:t xml:space="preserve">. I skogar med suboceaniskt klimat finns det en mycket sällsynt parasit, njurlavsknapp </w:t>
      </w:r>
      <w:r>
        <w:rPr>
          <w:i/>
        </w:rPr>
        <w:t>Pletocarpon nephromeum</w:t>
      </w:r>
      <w:r>
        <w:t xml:space="preserve"> (EN), som växer på stuplav (SLU Artdatabanken, 2024; Nitare &amp; Skogsstyrelsen, 2019).</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brunkantad brunbagge</w:t>
      </w:r>
      <w:r>
        <w:rPr>
          <w:i/>
        </w:rPr>
        <w:t xml:space="preserve"> </w:t>
      </w:r>
      <w:r>
        <w:t>(RE), gul mjukporing (CR), lämmelporing (EN), parasitporing (VU), gropig brunbagge (NT), gulbandad brunbagge</w:t>
      </w:r>
      <w:r>
        <w:rPr>
          <w:i/>
        </w:rPr>
        <w:t xml:space="preserve"> </w:t>
      </w:r>
      <w:r>
        <w:t xml:space="preserve">(NT) och kilporing (NT). Violmussling är typisk art för </w:t>
      </w:r>
      <w:r>
        <w:rPr>
          <w:i/>
        </w:rPr>
        <w:t>9010 Taiga</w:t>
      </w:r>
      <w:r>
        <w:t xml:space="preserve"> (SLU Artdatabanken, 2024; Nitare &amp; Skogsstyrelsen, 2019).</w:t>
      </w:r>
    </w:p>
    <w:p>
      <w:pPr>
        <w:pStyle w:val="Heading1"/>
      </w:pPr>
      <w:r>
        <w:t>Fridlysta arter</w:t>
      </w:r>
    </w:p>
    <w:p>
      <w:r>
        <w:t>Följande fridlysta arter har sina livsmiljöer och växtplatser i den avverkningsanmälda skogen: knärot (VU, §8), spillkråka (NT, §4), talltita (NT, §4), tretåig hackspett (NT, §4), plattlummer (S, §9) och spindelblomster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0.61 ha med buffertzonerna och får av detta skäl inte avverkas.</w:t>
      </w:r>
    </w:p>
    <w:p>
      <w:pPr>
        <w:pStyle w:val="Caption"/>
      </w:pPr>
      <w:r>
        <w:drawing>
          <wp:inline xmlns:a="http://schemas.openxmlformats.org/drawingml/2006/main" xmlns:pic="http://schemas.openxmlformats.org/drawingml/2006/picture">
            <wp:extent cx="5486400" cy="5355891"/>
            <wp:docPr id="2" name="Picture 2"/>
            <wp:cNvGraphicFramePr>
              <a:graphicFrameLocks noChangeAspect="1"/>
            </wp:cNvGraphicFramePr>
            <a:graphic>
              <a:graphicData uri="http://schemas.openxmlformats.org/drawingml/2006/picture">
                <pic:pic>
                  <pic:nvPicPr>
                    <pic:cNvPr id="0" name="A 12519-2024 karta knärot.png"/>
                    <pic:cNvPicPr/>
                  </pic:nvPicPr>
                  <pic:blipFill>
                    <a:blip r:embed="rId17"/>
                    <a:stretch>
                      <a:fillRect/>
                    </a:stretch>
                  </pic:blipFill>
                  <pic:spPr>
                    <a:xfrm>
                      <a:off x="0" y="0"/>
                      <a:ext cx="5486400" cy="535589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7405334, E 878250 i SWEREF 99 TM.</w:t>
      </w:r>
    </w:p>
    <w:p>
      <w:pPr>
        <w:pStyle w:val="Caption"/>
      </w:pP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(VU, §8) och mellanlummer (VU, §9), vilka båda omfattas av EU:s art- och habitatdirektiv. Plattlummer är typisk art för </w:t>
      </w:r>
      <w:r>
        <w:rPr>
          <w:i/>
        </w:rPr>
        <w:t xml:space="preserve">9010 Taiga </w:t>
      </w:r>
      <w:r>
        <w:t>och</w:t>
      </w:r>
      <w:r>
        <w:rPr>
          <w:i/>
        </w:rPr>
        <w:t xml:space="preserve"> 2320 Rissandhedar </w:t>
      </w:r>
      <w:r>
        <w:t>(Nitare &amp; Skogsstyrelsen, 2019; SLU Artdatabanken, 2025).</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Spillkråka är typisk art för </w:t>
      </w:r>
      <w:r>
        <w:rPr>
          <w:i/>
        </w:rPr>
        <w:t xml:space="preserve">9010 Taiga </w:t>
      </w:r>
      <w:r>
        <w:t>och</w:t>
      </w:r>
      <w:r>
        <w:rPr>
          <w:i/>
        </w:rPr>
        <w:t xml:space="preserve"> 9740 Skogsbevuxen myr </w:t>
      </w:r>
      <w:r>
        <w:t>(SLU Artdatabanken, 2023).</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(NT) är rödlistad som nära hotad, fridlyst enligt §4 Artskyddsförordningen, typisk art för </w:t>
      </w:r>
      <w:r>
        <w:rPr>
          <w:i/>
        </w:rPr>
        <w:t xml:space="preserve">9010 Taiga </w:t>
      </w:r>
      <w:r>
        <w:t>och</w:t>
      </w:r>
      <w:r>
        <w:rPr>
          <w:i/>
        </w:rPr>
        <w:t xml:space="preserve"> 9740 Skogsbevuxen myr</w:t>
      </w:r>
      <w:r>
        <w:t xml:space="preserve">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2026-02-28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