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15638-2024 i Övertorneå kommun</w:t>
      </w:r>
    </w:p>
    <w:p>
      <w:r>
        <w:t>Denna tillsynsbegäran behandlar höga naturvärden i avverkningsanmälan A 15638-2024 i Övertorneå kommun som inkom 2024-04-21 och omfattar 15,5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15638-2024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7383594, E 877701 i SWEREF 99 TM.</w:t>
      </w:r>
    </w:p>
    <w:p>
      <w:r>
        <w:t>I avverkningsanmälan finns fynd av 19 naturvårdsarter, varav 7 är rödlistade, 7 är fridlysta, 18 är typiska (T) och 8 är signalarter (S): garnlav (VU, T), knärot (VU, T, §8), gammelgransskål (NT, T), lunglav (NT, T), rynkskinn (NT, T), tretåig hackspett (NT, T, §4), violmussling (NT, T), barkticka (S, T), bronshjon (S, T), luddlav (S, T), norrlandslav (S, T), skinnlav (S, T), spindelblomster (S, T, §8), stor aspticka (S, T), stuplav (S, T), järpe (T, §4),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5194169"/>
            <wp:docPr id="2" name="Picture 2"/>
            <wp:cNvGraphicFramePr>
              <a:graphicFrameLocks noChangeAspect="1"/>
            </wp:cNvGraphicFramePr>
            <a:graphic>
              <a:graphicData uri="http://schemas.openxmlformats.org/drawingml/2006/picture">
                <pic:pic>
                  <pic:nvPicPr>
                    <pic:cNvPr id="0" name="A 15638-2024 karta knärot.png"/>
                    <pic:cNvPicPr/>
                  </pic:nvPicPr>
                  <pic:blipFill>
                    <a:blip r:embed="rId17"/>
                    <a:stretch>
                      <a:fillRect/>
                    </a:stretch>
                  </pic:blipFill>
                  <pic:spPr>
                    <a:xfrm>
                      <a:off x="0" y="0"/>
                      <a:ext cx="5486400" cy="51941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7383594, E 877701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rynkskinn (NT, T), tretåig hackspett (NT, T, §4), violmussling (NT, T), barkticka (S, T), bronshjon (S, T), luddlav (S, T), norrlandslav (S, T), skinnlav (S, T), spindelblomster (S, T, §8), stor aspticka (S, T), stuplav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