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41916-2024 i Övertorneå kommun</w:t>
      </w:r>
    </w:p>
    <w:p>
      <w:r>
        <w:t>Detta dokument behandlar höga naturvärden i avverkningsanmälan A 41916-2024 i Övertorneå kommun. Denna avverkningsanmälan inkom 2024-09-26 och omfattar 4,7 ha.</w:t>
      </w:r>
    </w:p>
    <w:p>
      <w:r>
        <w:t>Nedan presenteras fynd av naturvårdsarter och fridlysta arter som gjorts i det avverkningsanmälda området, samt relevanta utdrag ur standarderna för FSC, Chain of Custody, Controlled Wood och PEFC. I BILAGA 1 finns artfakta om fridlysta och rödlistade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11 naturvårdsarter hittats: ulltickeporing (VU), garnlav (NT), granticka (NT), kolflarnlav (NT), nordtagging (NT), rosenticka (NT), spillkråka (NT, §4), tretåig hackspett (NT, §4), ullticka (NT), skinnlav (S) och vedticka (S). Av dessa är 9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2788056"/>
            <wp:docPr id="1" name="Picture 1"/>
            <wp:cNvGraphicFramePr>
              <a:graphicFrameLocks noChangeAspect="1"/>
            </wp:cNvGraphicFramePr>
            <a:graphic>
              <a:graphicData uri="http://schemas.openxmlformats.org/drawingml/2006/picture">
                <pic:pic>
                  <pic:nvPicPr>
                    <pic:cNvPr id="0" name="A 41916-2024 karta.png"/>
                    <pic:cNvPicPr/>
                  </pic:nvPicPr>
                  <pic:blipFill>
                    <a:blip r:embed="rId16"/>
                    <a:stretch>
                      <a:fillRect/>
                    </a:stretch>
                  </pic:blipFill>
                  <pic:spPr>
                    <a:xfrm>
                      <a:off x="0" y="0"/>
                      <a:ext cx="5486400" cy="2788056"/>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7396256, E 876051 i SWEREF 99 TM.</w:t>
      </w:r>
    </w:p>
    <w:p>
      <w:r>
        <w:rPr>
          <w:b/>
        </w:rPr>
        <w:t>Garnlav (NT)</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Orsaken till tillbakagången beror främst på slutavverkningar av naturskogsartade skogar. Bestånd med riklig förekomst bör regelmässigt sparas.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(SLU Artdatabanken, 2024).</w:t>
      </w:r>
    </w:p>
    <w:p>
      <w:r>
        <w:rPr>
          <w:b/>
        </w:rPr>
        <w:t>Granticka (NT)</w:t>
      </w:r>
      <w:r>
        <w:t xml:space="preserve"> förekommer främst i äldre skogar med naturskogskaraktär, liksom i dimensionsavverkade och plockhuggna skogar. I äldre grannaturskog i norra Sverige är den alltjämt en förhållandevis vanlig karaktärsart, medan den längre söderut blir allt mer sällsynt. I Götaland och delar av Svealand är den en god signalart för skyddsvärda granskogsmiljöer. Arten bedöms ha minskat starkt under senare år på grund av skogsavverkningar, då den framför allt växer i äldre granskog med långvarig grankontinuitet. I urskogsliknande bestånd i norra Sverige kan ibland påträffas den mycket sällsynta tickan grantickeporing (VU), som lever på döda grantickor (SLU Artdatabanken, 2024; Nitare &amp; Skogsstyrelsen, 2019).</w:t>
      </w:r>
    </w:p>
    <w:p>
      <w:r>
        <w:rPr>
          <w:b/>
        </w:rPr>
        <w:t>Kolflarnlav (NT)</w:t>
      </w:r>
      <w:r>
        <w:t xml:space="preserve"> är brandberoende och växer nästan uteslutande på kolad hård kärnved av tall. Etableringen verkar ske först 100–300 år efter brand och nytt substrat nybildas i mycket begränsad omfattning. Avverkning av tallskog av naturskogskaraktär med spår av återkommande bränder är ett hot och mängden lämplig ved att växa på för arten minskar dels på grund av naturlig nedbrytning men framförallt på grund av att det förstörs i samband med slutavverkningar, gallringar och markberedning. Såväl kolflarnlav som mörk kolflarnlav har glänsande bålfjäll och förekommer främst i tall- och blandbarrskogar av naturskogskaraktär med spår av återkommande bränder. Skogar som dessa hyser höga biologiska värden och bör skyddas (SLU Artdatabanken, 2024).</w:t>
      </w:r>
    </w:p>
    <w:p>
      <w:r>
        <w:rPr>
          <w:b/>
        </w:rPr>
        <w:t>Nordtagging (NT)</w:t>
      </w:r>
      <w:r>
        <w:t xml:space="preserve"> växer främst på tallågor av grövre dimensioner och påträffas huvudsakligen i äldre skog som inte kalavverkats. Nordtaggingen missgynnas av att områden med äldre tallskog har minskat starkt. Bekämpning av skogsbränder, samtidigt som skogsbruket omvandlar naturligt glesa tallbestånd till likartade och betydligt tätare bestånd, har missgynnat arten. Bristen på gamla tallågor utgör på sikt ett allvarligt hot och återskapandet av lämpliga biotoper tar mycket lång tid. Områden med olikåldriga bestånd av tall och med stort inslag av äldre träd bör undantas från skoglig produktion (SLU Artdatabanken, 2024).</w:t>
      </w:r>
    </w:p>
    <w:p>
      <w:r>
        <w:rPr>
          <w:b/>
        </w:rPr>
        <w:t>Rosenticka (NT)</w:t>
      </w:r>
      <w:r>
        <w:t>, rödlistad som nära hotad, ingår i en karaktäristisk association av vedsvampar som växer på gamla, grova granlågor i urskogsartade barrskogar. Den är placerad i toppen av Skogsstyrelsens värdepyramid för bedömning av skog med höga naturvärden och indikerar ett granskogsekosystem med långvarig kontinuitet av grova lågor. Artens beroende av grova granlågor innebär att alla skogsskötselåtgärder på eller i omedelbar närhet av lokalerna utgör ett hot på lång sikt. Det är angeläget att populationerna inte ytterligare glesas ut och ett tillräckligt antal områden där arten nu finns måste sparas för framtiden (Nitare &amp; Skogsstyrelsen, 2019; SLU Artdatabanken, 2024).</w:t>
      </w:r>
    </w:p>
    <w:p>
      <w:r>
        <w:rPr>
          <w:b/>
        </w:rPr>
        <w:t xml:space="preserve">Skinnlav </w:t>
      </w:r>
      <w:r>
        <w:t>förekommer på diverse lövträd, främst på gammal asp och sälg. Den påträffas främst i områden med lång kontinuitet av grova lövträd och signalerar skogsmark med höga naturvärden. På lokalerna förekommer som regel ett flertal andra ovanliga eller rödlistade lavar. I likhet med gelélavarna, etablerar sig skinnlaven i skogsmark på grova aspar i sena lövsuccessioner (Nitare &amp; Skogsstyrelsen, 2019).</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tre olika arter: </w:t>
      </w:r>
      <w:r>
        <w:rPr>
          <w:i/>
        </w:rPr>
        <w:t xml:space="preserve">Skeletocutis brevispora </w:t>
      </w:r>
      <w:r>
        <w:t>(ulltickeporing)</w:t>
      </w:r>
      <w:r>
        <w:rPr>
          <w:i/>
        </w:rPr>
        <w:t>, Skeletocutis delicata och Skeletocutis exilis</w:t>
      </w:r>
      <w:r>
        <w:t>. De två sistnämnda arterna står för närvarande (2020) som ej bedömda i rödlistan (SLU Artdatabanken, 2024; Nitare &amp; Skogsstyrelsen, 2019; Miettinen &amp; Niemelä, 2018).</w:t>
      </w:r>
    </w:p>
    <w:p>
      <w:r>
        <w:rPr>
          <w:b/>
        </w:rPr>
        <w:t xml:space="preserve">Ulltickeporing </w:t>
      </w:r>
      <w:r>
        <w:rPr>
          <w:b/>
          <w:i/>
        </w:rPr>
        <w:t>Skeletocutis brevispora</w:t>
      </w:r>
      <w:r>
        <w:rPr>
          <w:b/>
        </w:rPr>
        <w:t xml:space="preserve"> (VU)</w:t>
      </w:r>
      <w:r>
        <w:t>, rödlistad som sårbar, växer på ullticka (NT) i naturskogsartade granskogar. Avverkning av naturskogslika miljöer och av grova granar där ulltickeporing förekommer är ett direkt hot mot artens fortlevnad. Alla skogliga åtgärder som innebär att lågor och döda eller skadade träd tas bort missgynnar arten. På sikt är minskad tillgång till lämpligt substrat och krympande areal av naturskog ett hot, framförallt råder brist på grov ved som lågor i sena nedbrytningsstadier. Ytterligare fragmentering av skogslandskapet minskar artens möjligheter till spridning. Gamla granskogar som hyser arten undantas helt från skogsbruk (SLU Artdatabanken, 2024).</w:t>
      </w:r>
    </w:p>
    <w:p>
      <w:pPr>
        <w:pStyle w:val="Heading1"/>
      </w:pPr>
      <w:r>
        <w:t>Fridlysta arter</w:t>
      </w:r>
    </w:p>
    <w:p>
      <w:r>
        <w:t>Följande fridlysta arter har sina livsmiljöer och växtplatser i den avverkningsanmälda skogen: spillkråka (NT, §4) och tretåig hackspett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Spillkråka (NT, §4)</w:t>
      </w:r>
      <w:r>
        <w:t xml:space="preserve"> är rödlistad som nära hotad och ingår i bilaga 1 i EU:s fågeldirektiv. Den minskar i population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(SLU Artdatabanken, 2023).</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(Skogsstyrelsen, 2016).</w:t>
      </w: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11 naturvårdsarter varav 9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w:t>
        <w:br/>
        <w:t>Fridlysta och rödlistade arter</w:t>
      </w:r>
    </w:p>
    <w:p>
      <w:pPr>
        <w:pStyle w:val="Heading1"/>
      </w:pPr>
      <w:r>
        <w:t>Spillkråka – ekologi samt krav på livsmiljön</w:t>
      </w:r>
    </w:p>
    <w:p>
      <w:r>
        <w:t>Spillkråka (NT) är rödlistad som nära hotad, fridlyst enligt §4 Artskyddsförordningen och ingår i bilaga 1 i EU:s fågeldirektiv. Spillkråka lever i både barr- och blandskog liksom i ren lövskog. De tätaste populationerna tenderar att finnas i äldre, variationsrik blandskog med gott om död ved och gamla träd.</w:t>
      </w:r>
    </w:p>
    <w:p>
      <w:r>
        <w:t>Varje par utnyttjar 400–1000 hektar skog beroende på skogens kvalitet. En minskning av populationen pågår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(Artdatabanken 2023).</w:t>
      </w:r>
    </w:p>
    <w:p>
      <w:pPr>
        <w:pStyle w:val="Heading2"/>
      </w:pPr>
      <w:r>
        <w:t>Referenser – spillkråka</w:t>
      </w:r>
    </w:p>
    <w:p>
      <w:r>
        <w:t xml:space="preserve">SLU Artdatabanken, 2021.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w:t>
      </w:r>
    </w:p>
    <w:p>
      <w:r>
        <w:t>Förutom fridlysning enligt §4 Artskyddsförordningen är tretåig hackspett även förtecknad i EU:s fågeldirektiv bilaga 1. Den ingår också i Natura 2000 och är förtecknad i Bernkonventionen bilaga II (strikt skyddade djurarter).</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 xml:space="preserve">Vägledning för hänsyn till fåglar – Tretåig hackspett. </w:t>
      </w:r>
      <w:r>
        <w:t>www.skogsstyrelsen.se</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p>
      <w:pPr>
        <w:pStyle w:val="Heading1"/>
      </w:pPr>
      <w:r>
        <w:t>Ulltickeporing – ekologi samt krav på livsmiljön</w:t>
      </w:r>
    </w:p>
    <w:p>
      <w:r>
        <w:t xml:space="preserve">Ulltickeporing </w:t>
      </w:r>
      <w:r>
        <w:rPr>
          <w:i/>
        </w:rPr>
        <w:t>Skeletocutis brevispora</w:t>
      </w:r>
      <w:r>
        <w:t xml:space="preserve"> (VU), rödlistad som sårbar, växer på ullticka (NT) i naturskogsartade granskogar. Avverkning av naturskogslika miljöer och av grova granar där ulltickeporing förekommer är ett direkt hot mot artens fortlevnad Alla skogliga åtgärder som innebär att lågor och döda eller skadade träd tas bort missgynnar arten. På sikt är minskad tillgång till lämpligt substrat och krympande areal av naturskog ett hot, framförallt råder brist på grov ved som lågor i sena nedbrytningsstadier. Ytterligare fragmentering av skogslandskapet minskar artens möjligheter till spridning. Gamla granskogar som hyser arten undantas helt från skogsbruk (SLU Artdatabanken, 2024).</w:t>
      </w:r>
    </w:p>
    <w:p>
      <w:r>
        <w:t xml:space="preserve">Ulltickeporingen har nyligen delats upp i tre olika arter: </w:t>
      </w:r>
      <w:r>
        <w:rPr>
          <w:i/>
        </w:rPr>
        <w:t xml:space="preserve">Skeletocutis brevispora </w:t>
      </w:r>
      <w:r>
        <w:t>(ulltickeporing)</w:t>
      </w:r>
      <w:r>
        <w:rPr>
          <w:i/>
        </w:rPr>
        <w:t>, Skeletocutis delicata och Skeletocutis exilis</w:t>
      </w:r>
      <w:r>
        <w:t xml:space="preserve"> (Miettinen &amp; Niemelä, 2018). Skeletocutis delicata och Skeletocutis exilis står för närvarande (2020) som ej bedömda i rödlistan.</w:t>
      </w:r>
    </w:p>
    <w:p>
      <w:pPr>
        <w:pStyle w:val="Heading2"/>
      </w:pPr>
      <w:r>
        <w:t>Referenser – ulltickeporing</w:t>
      </w:r>
    </w:p>
    <w:p>
      <w:r>
        <w:t xml:space="preserve">Miettinen, O. &amp; Niemelä, T., 2018. </w:t>
      </w:r>
      <w:r>
        <w:rPr>
          <w:i/>
        </w:rPr>
        <w:t>Two new temperate polypore species of Skeletocutis (Polyporales, Basidiomycota)</w:t>
      </w:r>
      <w:r>
        <w:t>. Ann. Bot. Fennici 55: 195–206.</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2025-08-06</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