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18671-2024 i Övertorneå kommun</w:t>
      </w:r>
    </w:p>
    <w:p>
      <w:r>
        <w:t>Detta dokument behandlar höga naturvärden i avverkningsanmälan A 18671-2024 i Övertorneå kommun. Denna avverkningsanmälan inkom 2024-05-14 00:00:00 och omfattar 35,2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 trolldruva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9034"/>
            <wp:docPr id="1" name="Picture 1"/>
            <wp:cNvGraphicFramePr>
              <a:graphicFrameLocks noChangeAspect="1"/>
            </wp:cNvGraphicFramePr>
            <a:graphic>
              <a:graphicData uri="http://schemas.openxmlformats.org/drawingml/2006/picture">
                <pic:pic>
                  <pic:nvPicPr>
                    <pic:cNvPr id="0" name="A 18671-2024 karta.png"/>
                    <pic:cNvPicPr/>
                  </pic:nvPicPr>
                  <pic:blipFill>
                    <a:blip r:embed="rId16"/>
                    <a:stretch>
                      <a:fillRect/>
                    </a:stretch>
                  </pic:blipFill>
                  <pic:spPr>
                    <a:xfrm>
                      <a:off x="0" y="0"/>
                      <a:ext cx="5486400" cy="6969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7393129, E 868767 i SWEREF 99 TM.</w:t>
      </w:r>
    </w:p>
    <w:p>
      <w:r>
        <w:rPr>
          <w:b/>
        </w:rPr>
        <w:t>Röd trolldruva (NT)</w:t>
      </w:r>
      <w:r>
        <w:t xml:space="preserve"> har sin utbredning i övre Norrlands skogsland från Västerbotten upp till Torne lappmark och växer framför allt i frisk-fuktig, vanligen örtrik och mycket artrik granskog på näringsrik mark med rörligt markvatten. Arten är mycket sällsynt och vanligen fåtalig på sina lokaler inom hela sitt svenska utbredningsområde. Slutavverkning kan medföra kraftig decimering eller utslagning av bestånden och det är viktigt att alla lokaler med röd trolldruva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