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848-2024 i Övertorneå kommun</w:t>
      </w:r>
    </w:p>
    <w:p>
      <w:r>
        <w:t>Detta dokument behandlar höga naturvärden i avverkningsanmälan A 848-2024 i Övertorneå kommun. Denna avverkningsanmälan inkom 2024-01-09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gräddporing (VU), blanksvart spiklav (NT), garnlav (NT), kolflarnlav (NT), mörk kolflarnlav (NT), spillkråka (NT, §4), vedflamlav (NT), violmussling (NT), skinnlav (S), orre (§4) och tjäder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9616"/>
            <wp:docPr id="1" name="Picture 1"/>
            <wp:cNvGraphicFramePr>
              <a:graphicFrameLocks noChangeAspect="1"/>
            </wp:cNvGraphicFramePr>
            <a:graphic>
              <a:graphicData uri="http://schemas.openxmlformats.org/drawingml/2006/picture">
                <pic:pic>
                  <pic:nvPicPr>
                    <pic:cNvPr id="0" name="A 848-2024 karta.png"/>
                    <pic:cNvPicPr/>
                  </pic:nvPicPr>
                  <pic:blipFill>
                    <a:blip r:embed="rId16"/>
                    <a:stretch>
                      <a:fillRect/>
                    </a:stretch>
                  </pic:blipFill>
                  <pic:spPr>
                    <a:xfrm>
                      <a:off x="0" y="0"/>
                      <a:ext cx="5486400" cy="44596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7411439, E 865037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brunkantad brunbagge</w:t>
      </w:r>
      <w:r>
        <w:rPr>
          <w:i/>
        </w:rPr>
        <w:t xml:space="preserve"> </w:t>
      </w:r>
      <w:r>
        <w:t>(RE), gul mjukporing (CR), lämmelporing (EN), parasitporing (VU), gropig brunbagge (NT), gulbandad brunbagge</w:t>
      </w:r>
      <w:r>
        <w:rPr>
          <w:i/>
        </w:rPr>
        <w:t xml:space="preserve"> </w:t>
      </w:r>
      <w:r>
        <w:t>(NT) och kilporing (NT) (SLU Artdatabanken, 2024; Nitare &amp; Skogsstyrelsen, 2019).</w:t>
      </w:r>
    </w:p>
    <w:p>
      <w:pPr>
        <w:pStyle w:val="Heading1"/>
      </w:pPr>
      <w:r>
        <w:t>Fridlysta arter</w:t>
      </w:r>
    </w:p>
    <w:p>
      <w:r>
        <w:t>Följande fridlysta arter har sina livsmiljöer och växtplatser i den avverkningsanmälda skogen: spillkråka (NT, §4),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