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1571-2024 i Pajala kommun</w:t>
      </w:r>
    </w:p>
    <w:p>
      <w:r>
        <w:t>Detta klagomål behandlar höga naturvärden i avverkningsanmälan A 1571-2024 i Pajala kommun som inkom 2024-01-15 och omfattar 81,3 ha.</w:t>
      </w:r>
    </w:p>
    <w:p>
      <w:pPr>
        <w:pStyle w:val="Caption"/>
      </w:pPr>
      <w:r>
        <w:drawing>
          <wp:inline xmlns:a="http://schemas.openxmlformats.org/drawingml/2006/main" xmlns:pic="http://schemas.openxmlformats.org/drawingml/2006/picture">
            <wp:extent cx="5486400" cy="5273354"/>
            <wp:docPr id="1" name="Picture 1"/>
            <wp:cNvGraphicFramePr>
              <a:graphicFrameLocks noChangeAspect="1"/>
            </wp:cNvGraphicFramePr>
            <a:graphic>
              <a:graphicData uri="http://schemas.openxmlformats.org/drawingml/2006/picture">
                <pic:pic>
                  <pic:nvPicPr>
                    <pic:cNvPr id="0" name="A 1571-2024 karta.png"/>
                    <pic:cNvPicPr/>
                  </pic:nvPicPr>
                  <pic:blipFill>
                    <a:blip r:embed="rId16"/>
                    <a:stretch>
                      <a:fillRect/>
                    </a:stretch>
                  </pic:blipFill>
                  <pic:spPr>
                    <a:xfrm>
                      <a:off x="0" y="0"/>
                      <a:ext cx="5486400" cy="5273354"/>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7454902, E 869940 i SWEREF 99 TM.</w:t>
      </w:r>
    </w:p>
    <w:p>
      <w:r>
        <w:t>I och inom 23 meter från avverkningsanmälan finns fynd av 12 naturvårdsarter, varav 5 är rödlistade, 6 är fridlysta, 7 är typiska (T) och 3 är signalarter (S): djupsvart brunbagge (EN), garnlav (VU, T), knärot (VU, T, §8), rosenticka (NT, T), talltita (NT, §4), bårdlav (S, T), luddlav (S, T), vågbandad barkbock (S), järpe (T, §4),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Djupsvart brunbagge (EN)</w:t>
      </w:r>
      <w:r>
        <w:t xml:space="preserve"> är rödlistad som starkt hotad och omfattas av åtgärdsprogram för björklevande vedskalbaggar i Norrland. Arten utvecklas i svampangripen vitrötad lövträdsved och i norra Sverige är fynd framförallt gjorda i döda björkar, särskilt högstubbar av grova vårtbjörkar med fnösktickor (SLU Artdatabanken, 2021; Naturvårdsverket, 2008). Av den uppdaterade åtgärdstabellen för djupsvart brunbagge (2020–2027) framgår det att formellt skydd av större områden är nödvändigt för att klara arten på sikt, i kombination med den naturvårdsskötsel, ekoparker och frivilliga avsättningar som skogsägare arbetar med. 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037684"/>
            <wp:docPr id="2" name="Picture 2"/>
            <wp:cNvGraphicFramePr>
              <a:graphicFrameLocks noChangeAspect="1"/>
            </wp:cNvGraphicFramePr>
            <a:graphic>
              <a:graphicData uri="http://schemas.openxmlformats.org/drawingml/2006/picture">
                <pic:pic>
                  <pic:nvPicPr>
                    <pic:cNvPr id="0" name="A 1571-2024 karta knärot.png"/>
                    <pic:cNvPicPr/>
                  </pic:nvPicPr>
                  <pic:blipFill>
                    <a:blip r:embed="rId17"/>
                    <a:stretch>
                      <a:fillRect/>
                    </a:stretch>
                  </pic:blipFill>
                  <pic:spPr>
                    <a:xfrm>
                      <a:off x="0" y="0"/>
                      <a:ext cx="5486400" cy="50376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7454902, E 869940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Djupsvart brunbagge – ekologi samt krav på livsmiljön</w:t>
      </w:r>
    </w:p>
    <w:p>
      <w:r>
        <w:t>Djupsvart brunbagge är rödlistad som starkt hotad (EN) och omfattas av åtgärdsprogram för björklevande vedskalbaggar i Norrland. Djupsvart brunbagge utvecklas i svampangripen vitrötad lövträdsved. I norra Sverige är fynd framförallt gjorda i döda björkar, särskilt högstubbar av grova vårtbjörkar med fnösktickor (SLU Artdatabanken, 2021; Naturvårdsverket, 2008).</w:t>
      </w:r>
    </w:p>
    <w:p>
      <w:r>
        <w:t>Av den uppdaterade åtgärdstabellen för djupsvart brunbagge (2020–2027) framgår det att formellt skydd av större områden är nödvändigt för att klara arten på sikt, i kombination med den naturvårdsskötsel, ekoparker och frivilliga avsättningar som skogsägare arbetar med (Naturvårdsverket och Länsstyrelsen Gävleborg, 2022).</w:t>
      </w:r>
    </w:p>
    <w:p>
      <w:r>
        <w:t>Vidare att gynnsam bevarandestatus för djupsvart brunbagge uppnås när det finns starka förekomster i minst 20 trakter i landet. Med stark förekomst menas att inom en trakt på 500–5000 ha utgörs minst 25 % av lämpligt habitat innehållande minst 10 lämpliga träd per ha och att 25 % av dessa är bebodda av arten. Trakter ska ha en sådan trädslags- och ålders-sammansättning att områden rika på grova lövträd även finns på 50 års sikt. Trakter med starka förekomster ska vara spridda över respektive arts sentida (1900-tal) utbredningsområde i landet (Naturvårdsverket och Länsstyrelsen Gävleborg, 2022).</w:t>
      </w:r>
    </w:p>
    <w:p>
      <w:pPr>
        <w:pStyle w:val="Heading2"/>
      </w:pPr>
      <w:r>
        <w:t>Referenser – djupsvart brunbagge</w:t>
      </w:r>
    </w:p>
    <w:p>
      <w:r>
        <w:t xml:space="preserve">Naturvårdsverket &amp; Länsstyrelsen Gävleborg, 2022. </w:t>
      </w:r>
      <w:r>
        <w:rPr>
          <w:i/>
        </w:rPr>
        <w:t xml:space="preserve">Uppdaterad åtgärdstabell för björklevande vedskalbaggar, 2020–2027. </w:t>
      </w:r>
      <w:r>
        <w:t>Naturvårdsverket Stockholm.</w:t>
      </w:r>
    </w:p>
    <w:p>
      <w:r>
        <w:t xml:space="preserve">Naturvårdsverket, 2008. </w:t>
      </w:r>
      <w:r>
        <w:rPr>
          <w:i/>
        </w:rPr>
        <w:t xml:space="preserve">Åtgärdsprogram för björklevande vedskalbaggar i Norrland 2008–2012. </w:t>
      </w:r>
      <w:r>
        <w:t>Rapport 5843 – November 2008</w:t>
      </w:r>
    </w:p>
    <w:p>
      <w:r>
        <w:t xml:space="preserve">SLU Artdatabanken, 2021.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